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61" w:rsidRPr="0034020D" w:rsidRDefault="00E81761" w:rsidP="0034020D">
      <w:pPr>
        <w:autoSpaceDE w:val="0"/>
        <w:autoSpaceDN w:val="0"/>
        <w:bidi w:val="0"/>
        <w:adjustRightInd w:val="0"/>
        <w:spacing w:after="0" w:line="240" w:lineRule="auto"/>
        <w:rPr>
          <w:rFonts w:ascii="Verdana" w:hAnsi="Verdana" w:cs="Minion-Regular"/>
          <w:color w:val="000000"/>
          <w:sz w:val="20"/>
          <w:szCs w:val="20"/>
        </w:rPr>
      </w:pPr>
    </w:p>
    <w:p w:rsidR="005F0386" w:rsidRPr="0026371F" w:rsidRDefault="0026371F" w:rsidP="0026371F">
      <w:pPr>
        <w:autoSpaceDE w:val="0"/>
        <w:autoSpaceDN w:val="0"/>
        <w:bidi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  <w:rtl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                 </w:t>
      </w:r>
    </w:p>
    <w:p w:rsidR="00DB2826" w:rsidRDefault="00DB2826" w:rsidP="00120E7F">
      <w:pPr>
        <w:jc w:val="both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="Times New Roman" w:hAnsi="Times New Roman" w:cs="Times New Roman"/>
          <w:b/>
          <w:bCs/>
          <w:color w:val="000000"/>
          <w:rtl/>
        </w:rPr>
        <w:t xml:space="preserve">كيمياء </w:t>
      </w:r>
      <w:r>
        <w:rPr>
          <w:rFonts w:ascii="Times New Roman" w:hAnsi="Times New Roman" w:cs="Times New Roman"/>
          <w:b/>
          <w:bCs/>
          <w:color w:val="000000"/>
        </w:rPr>
        <w:t>0303342</w:t>
      </w:r>
      <w:r w:rsidRPr="00DB2826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  <w:lang w:bidi="ar-JO"/>
        </w:rPr>
        <w:t>(</w:t>
      </w:r>
      <w:r w:rsidRPr="00DB2826">
        <w:rPr>
          <w:rFonts w:asciiTheme="majorBidi" w:hAnsiTheme="majorBidi" w:cstheme="majorBidi"/>
          <w:b/>
          <w:bCs/>
          <w:rtl/>
        </w:rPr>
        <w:t>الكيمياء الفيزيائية-</w:t>
      </w:r>
      <w:r>
        <w:rPr>
          <w:rFonts w:asciiTheme="majorBidi" w:hAnsiTheme="majorBidi" w:cstheme="majorBidi"/>
          <w:b/>
          <w:bCs/>
        </w:rPr>
        <w:t>(2</w:t>
      </w:r>
      <w:r w:rsidRPr="00DB2826">
        <w:rPr>
          <w:rFonts w:asciiTheme="majorBidi" w:hAnsiTheme="majorBidi" w:cstheme="majorBidi"/>
          <w:b/>
          <w:bCs/>
          <w:rtl/>
        </w:rPr>
        <w:tab/>
      </w:r>
      <w:r w:rsidRPr="00DB2826">
        <w:rPr>
          <w:rFonts w:asciiTheme="majorBidi" w:hAnsiTheme="majorBidi" w:cstheme="majorBidi"/>
          <w:b/>
          <w:bCs/>
          <w:rtl/>
        </w:rPr>
        <w:tab/>
        <w:t>(</w:t>
      </w:r>
      <w:r w:rsidR="00120E7F">
        <w:rPr>
          <w:rFonts w:asciiTheme="majorBidi" w:hAnsiTheme="majorBidi" w:cstheme="majorBidi"/>
          <w:b/>
          <w:bCs/>
        </w:rPr>
        <w:t>3</w:t>
      </w:r>
      <w:r w:rsidR="00120E7F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Pr="00DB2826">
        <w:rPr>
          <w:rFonts w:asciiTheme="majorBidi" w:hAnsiTheme="majorBidi" w:cstheme="majorBidi"/>
          <w:b/>
          <w:bCs/>
          <w:rtl/>
        </w:rPr>
        <w:t>ساعات معتمدة)</w:t>
      </w:r>
    </w:p>
    <w:p w:rsidR="00DB2826" w:rsidRDefault="00DB2826" w:rsidP="00680E5C">
      <w:pPr>
        <w:jc w:val="both"/>
        <w:rPr>
          <w:rFonts w:asciiTheme="majorBidi" w:hAnsiTheme="majorBidi" w:cstheme="majorBidi"/>
          <w:b/>
          <w:bCs/>
          <w:color w:val="000000"/>
          <w:rtl/>
          <w:lang w:bidi="ar-JO"/>
        </w:rPr>
      </w:pPr>
      <w:r>
        <w:rPr>
          <w:rFonts w:ascii="Times New Roman" w:hAnsi="Times New Roman" w:cs="Times New Roman"/>
          <w:b/>
          <w:bCs/>
          <w:color w:val="000000"/>
        </w:rPr>
        <w:t>Chem 0303342</w:t>
      </w:r>
      <w:r w:rsidR="0087000D">
        <w:rPr>
          <w:rFonts w:asciiTheme="majorBidi" w:hAnsiTheme="majorBidi" w:cstheme="majorBidi"/>
          <w:b/>
          <w:bCs/>
          <w:color w:val="000000"/>
        </w:rPr>
        <w:t xml:space="preserve"> (Physical Chemistry </w:t>
      </w:r>
      <w:r>
        <w:rPr>
          <w:rFonts w:asciiTheme="majorBidi" w:hAnsiTheme="majorBidi" w:cstheme="majorBidi"/>
          <w:b/>
          <w:bCs/>
          <w:color w:val="000000"/>
        </w:rPr>
        <w:t>2)</w:t>
      </w:r>
      <w:r w:rsidRPr="008524D3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8524D3">
        <w:rPr>
          <w:rFonts w:asciiTheme="majorBidi" w:hAnsiTheme="majorBidi" w:cstheme="majorBidi"/>
          <w:b/>
          <w:bCs/>
          <w:color w:val="000000"/>
          <w:rtl/>
        </w:rPr>
        <w:tab/>
        <w:t xml:space="preserve">   المتطلب السابق: </w:t>
      </w:r>
      <w:r>
        <w:rPr>
          <w:rFonts w:ascii="Times New Roman" w:hAnsi="Times New Roman" w:cs="Times New Roman"/>
          <w:b/>
          <w:bCs/>
          <w:color w:val="000000"/>
        </w:rPr>
        <w:t>0303241</w:t>
      </w:r>
      <w:r>
        <w:rPr>
          <w:rFonts w:asciiTheme="majorBidi" w:hAnsiTheme="majorBidi" w:cstheme="majorBidi"/>
          <w:b/>
          <w:bCs/>
          <w:color w:val="000000"/>
        </w:rPr>
        <w:t>)</w:t>
      </w:r>
      <w:r w:rsidRPr="008524D3">
        <w:rPr>
          <w:rFonts w:asciiTheme="majorBidi" w:hAnsiTheme="majorBidi" w:cstheme="majorBidi"/>
          <w:b/>
          <w:bCs/>
          <w:color w:val="000000"/>
          <w:rtl/>
        </w:rPr>
        <w:t>)</w:t>
      </w:r>
    </w:p>
    <w:p w:rsidR="00A35D4F" w:rsidRDefault="00E64DE8" w:rsidP="00465030">
      <w:pPr>
        <w:jc w:val="both"/>
        <w:rPr>
          <w:rFonts w:asciiTheme="majorBidi" w:hAnsiTheme="majorBidi" w:cstheme="majorBidi"/>
          <w:color w:val="000000"/>
          <w:rtl/>
        </w:rPr>
      </w:pPr>
      <w:r w:rsidRPr="001B4C71">
        <w:rPr>
          <w:rFonts w:asciiTheme="majorBidi" w:hAnsiTheme="majorBidi" w:cstheme="majorBidi"/>
          <w:color w:val="000000"/>
          <w:rtl/>
        </w:rPr>
        <w:t>الاتزان في الكيمياء الكهربائية، الخواص الديناميكي</w:t>
      </w:r>
      <w:r w:rsidR="00FF5B2D">
        <w:rPr>
          <w:rFonts w:asciiTheme="majorBidi" w:hAnsiTheme="majorBidi" w:cstheme="majorBidi"/>
          <w:color w:val="000000"/>
          <w:rtl/>
        </w:rPr>
        <w:t>ة الحرارية للأيونات في المحاليل</w:t>
      </w:r>
      <w:r w:rsidR="00FF5B2D">
        <w:rPr>
          <w:rFonts w:asciiTheme="majorBidi" w:hAnsiTheme="majorBidi" w:cstheme="majorBidi" w:hint="cs"/>
          <w:color w:val="000000"/>
          <w:rtl/>
        </w:rPr>
        <w:t>،</w:t>
      </w:r>
      <w:r w:rsidRPr="001B4C71">
        <w:rPr>
          <w:rFonts w:asciiTheme="majorBidi" w:hAnsiTheme="majorBidi" w:cstheme="majorBidi"/>
          <w:color w:val="000000"/>
          <w:rtl/>
        </w:rPr>
        <w:t xml:space="preserve"> الخلايا </w:t>
      </w:r>
      <w:r w:rsidR="00FF5B2D">
        <w:rPr>
          <w:rFonts w:asciiTheme="majorBidi" w:hAnsiTheme="majorBidi" w:cstheme="majorBidi"/>
          <w:color w:val="000000"/>
          <w:rtl/>
        </w:rPr>
        <w:t>الكهروكيميائية: تفاعلات الأقطاب</w:t>
      </w:r>
      <w:r w:rsidR="00FF5B2D">
        <w:rPr>
          <w:rFonts w:asciiTheme="majorBidi" w:hAnsiTheme="majorBidi" w:cstheme="majorBidi" w:hint="cs"/>
          <w:color w:val="000000"/>
          <w:rtl/>
        </w:rPr>
        <w:t>،</w:t>
      </w:r>
      <w:r w:rsidRPr="001B4C71">
        <w:rPr>
          <w:rFonts w:asciiTheme="majorBidi" w:hAnsiTheme="majorBidi" w:cstheme="majorBidi"/>
          <w:color w:val="000000"/>
          <w:rtl/>
        </w:rPr>
        <w:t xml:space="preserve"> تطبيقـات الجهود القياسية للحصول على الدوال الديناميكية الحرارية</w:t>
      </w:r>
      <w:r>
        <w:rPr>
          <w:rFonts w:asciiTheme="majorBidi" w:hAnsiTheme="majorBidi" w:cstheme="majorBidi" w:hint="cs"/>
          <w:b/>
          <w:bCs/>
          <w:color w:val="000000"/>
          <w:rtl/>
        </w:rPr>
        <w:t xml:space="preserve">، </w:t>
      </w:r>
      <w:r w:rsidRPr="001B4C71">
        <w:rPr>
          <w:rFonts w:asciiTheme="majorBidi" w:hAnsiTheme="majorBidi" w:cstheme="majorBidi"/>
          <w:color w:val="000000"/>
          <w:rtl/>
        </w:rPr>
        <w:t xml:space="preserve">الايونات في المحاليل ، نظريات </w:t>
      </w:r>
      <w:r>
        <w:rPr>
          <w:rFonts w:asciiTheme="majorBidi" w:hAnsiTheme="majorBidi" w:cstheme="majorBidi" w:hint="cs"/>
          <w:color w:val="000000"/>
          <w:rtl/>
        </w:rPr>
        <w:t>ا</w:t>
      </w:r>
      <w:r w:rsidRPr="001B4C71">
        <w:rPr>
          <w:rFonts w:asciiTheme="majorBidi" w:hAnsiTheme="majorBidi" w:cstheme="majorBidi"/>
          <w:color w:val="000000"/>
          <w:rtl/>
        </w:rPr>
        <w:t xml:space="preserve">لتوصيل الكهربائي في المحاليل، انتقال الأيونات في </w:t>
      </w:r>
      <w:r w:rsidR="00FF5B2D">
        <w:rPr>
          <w:rFonts w:asciiTheme="majorBidi" w:hAnsiTheme="majorBidi" w:cstheme="majorBidi"/>
          <w:color w:val="000000"/>
          <w:rtl/>
        </w:rPr>
        <w:t>المحالي</w:t>
      </w:r>
      <w:r w:rsidR="00FF5B2D">
        <w:rPr>
          <w:rFonts w:asciiTheme="majorBidi" w:hAnsiTheme="majorBidi" w:cstheme="majorBidi" w:hint="cs"/>
          <w:color w:val="000000"/>
          <w:rtl/>
        </w:rPr>
        <w:t>ل،</w:t>
      </w:r>
      <w:r w:rsidRPr="00E64DE8">
        <w:rPr>
          <w:rFonts w:asciiTheme="majorBidi" w:hAnsiTheme="majorBidi" w:cstheme="majorBidi"/>
          <w:color w:val="000000"/>
          <w:rtl/>
        </w:rPr>
        <w:t xml:space="preserve"> </w:t>
      </w:r>
      <w:r w:rsidRPr="001B4C71">
        <w:rPr>
          <w:rFonts w:asciiTheme="majorBidi" w:hAnsiTheme="majorBidi" w:cstheme="majorBidi"/>
          <w:color w:val="000000"/>
          <w:rtl/>
        </w:rPr>
        <w:t>الانتشار</w:t>
      </w:r>
      <w:r w:rsidR="00FF5B2D">
        <w:rPr>
          <w:rFonts w:asciiTheme="majorBidi" w:hAnsiTheme="majorBidi" w:cstheme="majorBidi" w:hint="cs"/>
          <w:b/>
          <w:bCs/>
          <w:color w:val="000000"/>
          <w:rtl/>
        </w:rPr>
        <w:t xml:space="preserve">، </w:t>
      </w:r>
      <w:r w:rsidR="00FF5B2D" w:rsidRPr="001B4C71">
        <w:rPr>
          <w:rFonts w:asciiTheme="majorBidi" w:hAnsiTheme="majorBidi" w:cstheme="majorBidi"/>
          <w:color w:val="000000"/>
          <w:rtl/>
        </w:rPr>
        <w:t>حركة الجزيئات والأيونات في السوائل، الكيمياء الحركية:</w:t>
      </w:r>
      <w:r w:rsidR="00FF5B2D">
        <w:rPr>
          <w:rFonts w:asciiTheme="majorBidi" w:hAnsiTheme="majorBidi" w:cstheme="majorBidi" w:hint="cs"/>
          <w:b/>
          <w:bCs/>
          <w:color w:val="000000"/>
          <w:rtl/>
        </w:rPr>
        <w:t xml:space="preserve"> </w:t>
      </w:r>
      <w:r w:rsidR="00FF5B2D" w:rsidRPr="001B4C71">
        <w:rPr>
          <w:rFonts w:asciiTheme="majorBidi" w:hAnsiTheme="majorBidi" w:cstheme="majorBidi"/>
          <w:color w:val="000000"/>
          <w:rtl/>
        </w:rPr>
        <w:t>قوانين سرعة التفاعلات الكيميائية</w:t>
      </w:r>
      <w:r w:rsidR="006C14E3">
        <w:rPr>
          <w:rFonts w:asciiTheme="majorBidi" w:hAnsiTheme="majorBidi" w:cstheme="majorBidi" w:hint="cs"/>
          <w:color w:val="000000"/>
          <w:rtl/>
        </w:rPr>
        <w:t xml:space="preserve"> و</w:t>
      </w:r>
      <w:r w:rsidR="00FF5B2D" w:rsidRPr="001B4C71">
        <w:rPr>
          <w:rFonts w:asciiTheme="majorBidi" w:hAnsiTheme="majorBidi" w:cstheme="majorBidi"/>
          <w:color w:val="000000"/>
          <w:rtl/>
        </w:rPr>
        <w:t xml:space="preserve"> تطبيقاتها على الأنظمة البسيطة</w:t>
      </w:r>
      <w:r w:rsidR="00FF5B2D">
        <w:rPr>
          <w:rFonts w:asciiTheme="majorBidi" w:hAnsiTheme="majorBidi" w:cstheme="majorBidi" w:hint="cs"/>
          <w:color w:val="000000"/>
          <w:rtl/>
        </w:rPr>
        <w:t xml:space="preserve"> و المعقدة،</w:t>
      </w:r>
      <w:r w:rsidR="008E4E59" w:rsidRPr="008E4E59">
        <w:rPr>
          <w:rFonts w:asciiTheme="majorBidi" w:hAnsiTheme="majorBidi" w:cstheme="majorBidi"/>
          <w:color w:val="000000"/>
          <w:rtl/>
        </w:rPr>
        <w:t xml:space="preserve"> </w:t>
      </w:r>
      <w:r w:rsidR="008E4E59" w:rsidRPr="001B4C71">
        <w:rPr>
          <w:rFonts w:asciiTheme="majorBidi" w:hAnsiTheme="majorBidi" w:cstheme="majorBidi"/>
          <w:color w:val="000000"/>
          <w:rtl/>
        </w:rPr>
        <w:t>تفاعلات السلسلة</w:t>
      </w:r>
      <w:r w:rsidR="008E4E59">
        <w:rPr>
          <w:rFonts w:asciiTheme="majorBidi" w:hAnsiTheme="majorBidi" w:cstheme="majorBidi" w:hint="cs"/>
          <w:color w:val="000000"/>
          <w:rtl/>
        </w:rPr>
        <w:t xml:space="preserve">، </w:t>
      </w:r>
      <w:r w:rsidR="008E4E59" w:rsidRPr="001B4C71">
        <w:rPr>
          <w:rFonts w:asciiTheme="majorBidi" w:hAnsiTheme="majorBidi" w:cstheme="majorBidi"/>
          <w:color w:val="000000"/>
          <w:rtl/>
        </w:rPr>
        <w:t>نظريات حركية التفاعلات</w:t>
      </w:r>
      <w:r w:rsidR="006C14E3">
        <w:rPr>
          <w:rFonts w:asciiTheme="majorBidi" w:hAnsiTheme="majorBidi" w:cstheme="majorBidi" w:hint="cs"/>
          <w:color w:val="000000"/>
          <w:rtl/>
        </w:rPr>
        <w:t>، كيمياء</w:t>
      </w:r>
      <w:r w:rsidR="008E4E59">
        <w:rPr>
          <w:rFonts w:asciiTheme="majorBidi" w:hAnsiTheme="majorBidi" w:cstheme="majorBidi" w:hint="cs"/>
          <w:color w:val="000000"/>
          <w:rtl/>
        </w:rPr>
        <w:t xml:space="preserve"> السطوح</w:t>
      </w:r>
    </w:p>
    <w:p w:rsidR="00C215F1" w:rsidRDefault="00C215F1" w:rsidP="00C215F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lang w:bidi="ar-JO"/>
        </w:rPr>
      </w:pPr>
    </w:p>
    <w:p w:rsidR="00C215F1" w:rsidRPr="0008474A" w:rsidRDefault="00C215F1" w:rsidP="00C215F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/>
          <w:sz w:val="20"/>
          <w:szCs w:val="20"/>
          <w:rtl/>
          <w:lang w:bidi="ar-JO"/>
        </w:rPr>
        <w:t>خطة المساق</w:t>
      </w:r>
    </w:p>
    <w:p w:rsidR="00C215F1" w:rsidRDefault="00C215F1" w:rsidP="00C215F1">
      <w:pPr>
        <w:autoSpaceDE w:val="0"/>
        <w:autoSpaceDN w:val="0"/>
        <w:bidi w:val="0"/>
        <w:adjustRightInd w:val="0"/>
        <w:spacing w:after="0" w:line="240" w:lineRule="auto"/>
        <w:rPr>
          <w:rFonts w:ascii="Verdana" w:hAnsi="Verdana" w:cs="Minion-Regular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7633"/>
        <w:gridCol w:w="889"/>
      </w:tblGrid>
      <w:tr w:rsidR="00C215F1" w:rsidTr="00387133">
        <w:tc>
          <w:tcPr>
            <w:tcW w:w="7763" w:type="dxa"/>
          </w:tcPr>
          <w:p w:rsidR="00C215F1" w:rsidRPr="0008474A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0847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الموضوعات</w:t>
            </w:r>
          </w:p>
        </w:tc>
        <w:tc>
          <w:tcPr>
            <w:tcW w:w="759" w:type="dxa"/>
          </w:tcPr>
          <w:p w:rsidR="00C215F1" w:rsidRPr="0008474A" w:rsidRDefault="00C215F1" w:rsidP="0038713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0847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الأسبوع</w:t>
            </w:r>
          </w:p>
        </w:tc>
      </w:tr>
      <w:tr w:rsidR="00C215F1" w:rsidTr="00387133">
        <w:tc>
          <w:tcPr>
            <w:tcW w:w="7763" w:type="dxa"/>
          </w:tcPr>
          <w:p w:rsidR="00C215F1" w:rsidRPr="00F726CF" w:rsidRDefault="00C215F1" w:rsidP="0038713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و بيان الموضوعات التي سيتم تغطيتها</w:t>
            </w:r>
            <w:r w:rsidRPr="00F726C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الم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ادة، توزيع خطة المساق على الطلبة</w:t>
            </w:r>
            <w:r w:rsidRPr="00F726C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726CF">
              <w:rPr>
                <w:rFonts w:asciiTheme="majorBidi" w:hAnsiTheme="majorBidi" w:cstheme="majorBidi"/>
                <w:sz w:val="20"/>
                <w:szCs w:val="20"/>
                <w:rtl/>
              </w:rPr>
              <w:t>وأستاذ</w:t>
            </w:r>
            <w:r w:rsidRPr="00F726C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726CF">
              <w:rPr>
                <w:rFonts w:asciiTheme="majorBidi" w:hAnsiTheme="majorBidi" w:cstheme="majorBidi"/>
                <w:sz w:val="20"/>
                <w:szCs w:val="20"/>
                <w:rtl/>
              </w:rPr>
              <w:t>مقدمة تتضمن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التعرف على المادة </w:t>
            </w: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و التقويم و مواعيد الامتحانات و اساليب التدريس و الساعات المكتبية و الحرمان المترتب على تجاوز الغياب </w:t>
            </w: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و العقوبات المترتبة على الغش في الامتحانات و مخالفة النظام في الماضرات</w:t>
            </w:r>
          </w:p>
          <w:p w:rsidR="00C215F1" w:rsidRPr="001F2479" w:rsidRDefault="00C215F1" w:rsidP="0038713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  <w:p w:rsidR="00C215F1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JO"/>
              </w:rPr>
              <w:t>فصل</w:t>
            </w:r>
            <w:r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JO"/>
              </w:rPr>
              <w:t xml:space="preserve">سابع  </w:t>
            </w:r>
            <w:r w:rsidRPr="00184808"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توازن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</w:t>
            </w:r>
            <w:r w:rsidRPr="00B40A84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كيمياء</w:t>
            </w:r>
          </w:p>
          <w:p w:rsidR="00C215F1" w:rsidRPr="008511AE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الخلايا الكهربائية: </w:t>
            </w:r>
            <w:r w:rsidRPr="00724747">
              <w:rPr>
                <w:rFonts w:asciiTheme="majorBidi" w:hAnsiTheme="majorBidi" w:cstheme="majorBidi" w:hint="cs"/>
                <w:color w:val="000000"/>
                <w:rtl/>
                <w:lang w:bidi="ar-JO"/>
              </w:rPr>
              <w:t>انصاف التفاعلات و الاقطاب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JO"/>
              </w:rPr>
              <w:t xml:space="preserve">، </w:t>
            </w:r>
            <w:r w:rsidRPr="004F2D01">
              <w:rPr>
                <w:rFonts w:asciiTheme="majorBidi" w:hAnsiTheme="majorBidi" w:cstheme="majorBidi"/>
                <w:color w:val="000000"/>
                <w:rtl/>
              </w:rPr>
              <w:t>أنواع الخلايا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، </w:t>
            </w:r>
            <w:r w:rsidRPr="00946FBB">
              <w:rPr>
                <w:rFonts w:asciiTheme="majorBidi" w:hAnsiTheme="majorBidi" w:cstheme="majorBidi"/>
                <w:color w:val="000000"/>
                <w:shd w:val="clear" w:color="auto" w:fill="FFFFFF"/>
                <w:rtl/>
              </w:rPr>
              <w:t>القوة الدافعة الكهربائية</w:t>
            </w:r>
            <w:r>
              <w:rPr>
                <w:rFonts w:asciiTheme="majorBidi" w:hAnsiTheme="majorBidi" w:cstheme="majorBidi" w:hint="cs"/>
                <w:color w:val="000000"/>
                <w:shd w:val="clear" w:color="auto" w:fill="FFFFFF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color w:val="000000"/>
                <w:rtl/>
              </w:rPr>
              <w:t>ال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جهود</w:t>
            </w:r>
            <w:r w:rsidRPr="00946FBB">
              <w:rPr>
                <w:rFonts w:asciiTheme="majorBidi" w:hAnsiTheme="majorBidi" w:cstheme="majorBidi"/>
                <w:color w:val="000000"/>
                <w:rtl/>
              </w:rPr>
              <w:t xml:space="preserve"> القياسية</w:t>
            </w:r>
            <w:r w:rsidRPr="00D456D2">
              <w:rPr>
                <w:rFonts w:asciiTheme="majorBidi" w:hAnsiTheme="majorBidi" w:cstheme="majorBidi"/>
                <w:color w:val="000000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color w:val="000000"/>
                <w:rtl/>
              </w:rPr>
              <w:t>تطبيقات ال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جهود</w:t>
            </w:r>
            <w:r w:rsidRPr="00D456D2">
              <w:rPr>
                <w:rFonts w:asciiTheme="majorBidi" w:hAnsiTheme="majorBidi" w:cstheme="majorBidi"/>
                <w:color w:val="000000"/>
                <w:rtl/>
              </w:rPr>
              <w:t xml:space="preserve"> القياسية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1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الفصل الحادي و العشرون حركة الجزيئات</w:t>
            </w:r>
          </w:p>
          <w:p w:rsidR="00C215F1" w:rsidRPr="00AF69CC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JO"/>
              </w:rPr>
              <w:t>ا</w:t>
            </w:r>
            <w:r w:rsidRPr="006C4C59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لحركة الجزيئية في السوائل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نتائج عملية، الموصلية الكهربائية للمحاليل الالكتروتية 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2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  <w:lang w:bidi="ar-JO"/>
              </w:rPr>
            </w:pPr>
            <w:r w:rsidRPr="00FC675F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  <w:rtl/>
              </w:rPr>
              <w:t>تنقلات الأيونات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shd w:val="clear" w:color="auto" w:fill="FFFFFF"/>
                <w:rtl/>
                <w:lang w:bidi="ar-JO"/>
              </w:rPr>
              <w:t xml:space="preserve">، </w:t>
            </w:r>
            <w:r w:rsidRPr="00463DE0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  <w:rtl/>
              </w:rPr>
              <w:t>التوصيلات والتفاعلات الأيونية</w:t>
            </w:r>
          </w:p>
          <w:p w:rsidR="00C215F1" w:rsidRPr="00B52721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  <w:lang w:bidi="ar-JO"/>
              </w:rPr>
              <w:t xml:space="preserve">الانتشار: </w:t>
            </w:r>
            <w:r w:rsidRPr="00895986">
              <w:rPr>
                <w:rFonts w:asciiTheme="majorBidi" w:hAnsiTheme="majorBidi" w:cstheme="majorBidi"/>
                <w:color w:val="000000"/>
                <w:rtl/>
              </w:rPr>
              <w:t>نظرة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الديناميكا</w:t>
            </w:r>
            <w:r w:rsidRPr="00895986">
              <w:rPr>
                <w:rFonts w:asciiTheme="majorBidi" w:hAnsiTheme="majorBidi" w:cstheme="majorBidi"/>
                <w:color w:val="000000"/>
                <w:rtl/>
              </w:rPr>
              <w:t xml:space="preserve"> الحرارية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، </w:t>
            </w:r>
            <w:r w:rsidRPr="005861EE">
              <w:rPr>
                <w:rFonts w:asciiTheme="majorBidi" w:hAnsiTheme="majorBidi" w:cstheme="majorBidi"/>
                <w:color w:val="000000"/>
                <w:rtl/>
              </w:rPr>
              <w:t>معادلة الانتشار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، </w:t>
            </w:r>
            <w:r w:rsidRPr="00B52721">
              <w:rPr>
                <w:rFonts w:asciiTheme="majorBidi" w:hAnsiTheme="majorBidi" w:cstheme="majorBidi"/>
                <w:color w:val="000000"/>
                <w:rtl/>
              </w:rPr>
              <w:t>احتمالات الانتشار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، </w:t>
            </w:r>
            <w:r w:rsidRPr="00B52721">
              <w:rPr>
                <w:rFonts w:asciiTheme="majorBidi" w:hAnsiTheme="majorBidi" w:cstheme="majorBidi"/>
                <w:color w:val="000000"/>
                <w:rtl/>
              </w:rPr>
              <w:t>وجهة النظر الإحصائية</w:t>
            </w:r>
            <w:r w:rsidRPr="00463DE0">
              <w:rPr>
                <w:rFonts w:asciiTheme="majorBidi" w:hAnsiTheme="majorBidi" w:cstheme="majorBidi"/>
                <w:color w:val="000000"/>
                <w:shd w:val="clear" w:color="auto" w:fill="FFFFFF"/>
                <w:rtl/>
                <w:lang w:bidi="ar-JO"/>
              </w:rPr>
              <w:t xml:space="preserve">   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3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</w:pPr>
          </w:p>
          <w:p w:rsidR="00C215F1" w:rsidRDefault="00C215F1" w:rsidP="00387133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الفصل الثاني و العشرون </w:t>
            </w:r>
            <w:r w:rsidRPr="00881A97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معدلات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سرعة</w:t>
            </w:r>
            <w:r w:rsidRPr="00881A97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التفاعلات الكيميائية</w:t>
            </w:r>
          </w:p>
          <w:p w:rsidR="00C215F1" w:rsidRPr="0067512D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</w:rPr>
            </w:pPr>
            <w:r w:rsidRPr="00EF322A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الحركية الكيميائية التجريبية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JO"/>
              </w:rPr>
              <w:t xml:space="preserve">: </w:t>
            </w:r>
            <w:r w:rsidRPr="0099573E">
              <w:rPr>
                <w:rFonts w:asciiTheme="majorBidi" w:hAnsiTheme="majorBidi" w:cstheme="majorBidi"/>
                <w:color w:val="000000"/>
                <w:rtl/>
              </w:rPr>
              <w:t>التقنيات التجريبية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،</w:t>
            </w:r>
            <w:r w:rsidRPr="0099573E">
              <w:rPr>
                <w:rFonts w:asciiTheme="majorBidi" w:hAnsiTheme="majorBidi" w:cstheme="majorBidi"/>
                <w:color w:val="000000"/>
                <w:rtl/>
              </w:rPr>
              <w:t xml:space="preserve"> معدلات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سرعة التفاعلات،</w:t>
            </w:r>
            <w:r w:rsidRPr="006469FF">
              <w:rPr>
                <w:rFonts w:asciiTheme="majorBidi" w:hAnsiTheme="majorBidi" w:cstheme="majorBidi"/>
                <w:color w:val="000000"/>
                <w:rtl/>
              </w:rPr>
              <w:t xml:space="preserve"> تحديد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قوانين</w:t>
            </w:r>
            <w:r w:rsidRPr="006469FF">
              <w:rPr>
                <w:rFonts w:asciiTheme="majorBidi" w:hAnsiTheme="majorBidi" w:cstheme="majorBidi"/>
                <w:color w:val="000000"/>
                <w:rtl/>
              </w:rPr>
              <w:t xml:space="preserve"> معدل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سرعة</w:t>
            </w:r>
            <w:r w:rsidRPr="006469FF">
              <w:rPr>
                <w:rFonts w:asciiTheme="majorBidi" w:hAnsiTheme="majorBidi" w:cstheme="majorBidi"/>
                <w:color w:val="000000"/>
                <w:rtl/>
              </w:rPr>
              <w:t xml:space="preserve"> ا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لتفاعلات: الطريقة التفاضلية، طريقة العزل، طريقة معدل السرعة الابتدائية، طريقة معدل السرعة التكاملية، طريقة انصاف العمر 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4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000000"/>
                <w:rtl/>
                <w:lang w:bidi="ar-JO"/>
              </w:rPr>
            </w:pPr>
          </w:p>
          <w:p w:rsidR="00C215F1" w:rsidRPr="007E4F61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  <w:rtl/>
              </w:rPr>
            </w:pPr>
            <w:r w:rsidRPr="0067512D">
              <w:rPr>
                <w:rFonts w:asciiTheme="majorBidi" w:hAnsiTheme="majorBidi" w:cstheme="majorBidi" w:hint="cs"/>
                <w:color w:val="000000"/>
                <w:rtl/>
                <w:lang w:bidi="ar-JO"/>
              </w:rPr>
              <w:t>تفاعلات الاقتراب من التوازن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JO"/>
              </w:rPr>
              <w:t xml:space="preserve">: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تفاعلات</w:t>
            </w:r>
            <w:r>
              <w:rPr>
                <w:rFonts w:asciiTheme="majorBidi" w:hAnsiTheme="majorBidi" w:cstheme="majorBidi"/>
                <w:color w:val="000000"/>
                <w:rtl/>
              </w:rPr>
              <w:t xml:space="preserve"> من ال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رتبة</w:t>
            </w:r>
            <w:r w:rsidRPr="00D67496">
              <w:rPr>
                <w:rFonts w:asciiTheme="majorBidi" w:hAnsiTheme="majorBidi" w:cstheme="majorBidi"/>
                <w:color w:val="000000"/>
                <w:rtl/>
              </w:rPr>
              <w:t xml:space="preserve"> الأولى قريبة من التوازن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، </w:t>
            </w:r>
            <w:r w:rsidRPr="00D67496">
              <w:rPr>
                <w:rFonts w:asciiTheme="majorBidi" w:hAnsiTheme="majorBidi" w:cstheme="majorBidi"/>
                <w:color w:val="000000"/>
                <w:rtl/>
              </w:rPr>
              <w:t>طرق الاسترخاء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5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000000"/>
                <w:rtl/>
                <w:lang w:bidi="ar-JO"/>
              </w:rPr>
            </w:pPr>
          </w:p>
          <w:p w:rsidR="00C215F1" w:rsidRPr="00195683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inorBidi" w:hAnsiTheme="minorBidi" w:cstheme="minorBidi"/>
                <w:color w:val="000000"/>
              </w:rPr>
            </w:pPr>
            <w:r w:rsidRPr="007E4F61">
              <w:rPr>
                <w:rFonts w:asciiTheme="majorBidi" w:hAnsiTheme="majorBidi" w:cstheme="majorBidi"/>
                <w:color w:val="000000"/>
                <w:rtl/>
                <w:lang w:bidi="ar-JO"/>
              </w:rPr>
              <w:t>اعتماد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JO"/>
              </w:rPr>
              <w:t xml:space="preserve"> معدل سرعة التفاعلات على درجة الحرارة (معادلة ارهينيوس)، </w:t>
            </w:r>
            <w:r>
              <w:rPr>
                <w:rFonts w:asciiTheme="minorBidi" w:hAnsiTheme="minorBidi" w:cstheme="minorBidi"/>
                <w:color w:val="000000"/>
                <w:rtl/>
              </w:rPr>
              <w:t>جز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يئية</w:t>
            </w:r>
            <w:r w:rsidRPr="00195683">
              <w:rPr>
                <w:rFonts w:asciiTheme="minorBidi" w:hAnsiTheme="minorBidi" w:cstheme="minorBidi"/>
                <w:color w:val="000000"/>
                <w:rtl/>
              </w:rPr>
              <w:t xml:space="preserve"> التفاعلات</w:t>
            </w:r>
          </w:p>
          <w:p w:rsidR="00C215F1" w:rsidRPr="00195683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JO"/>
              </w:rPr>
              <w:t xml:space="preserve"> انواع التفاعلات المعقدة: التفاعلات</w:t>
            </w:r>
            <w:r w:rsidRPr="00964DAE">
              <w:rPr>
                <w:rFonts w:asciiTheme="majorBidi" w:hAnsiTheme="majorBidi" w:cstheme="majorBidi"/>
                <w:color w:val="000000"/>
                <w:rtl/>
              </w:rPr>
              <w:t xml:space="preserve"> الأولية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(البسيطة)، التفاعلات</w:t>
            </w:r>
            <w:r w:rsidRPr="00195683">
              <w:rPr>
                <w:rFonts w:asciiTheme="majorBidi" w:hAnsiTheme="majorBidi" w:cstheme="majorBidi"/>
                <w:color w:val="000000"/>
                <w:rtl/>
              </w:rPr>
              <w:t xml:space="preserve"> الأولية المتتالية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- </w:t>
            </w:r>
            <w:r w:rsidRPr="00495B7D">
              <w:rPr>
                <w:rFonts w:asciiTheme="majorBidi" w:hAnsiTheme="majorBidi" w:cstheme="majorBidi"/>
                <w:color w:val="000000"/>
                <w:rtl/>
              </w:rPr>
              <w:t xml:space="preserve">تقريب الحالة المستقرة، خطوة تحديد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معدل السرعة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6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000000"/>
                <w:rtl/>
                <w:lang w:bidi="ar-JO"/>
              </w:rPr>
            </w:pPr>
          </w:p>
          <w:p w:rsidR="00C215F1" w:rsidRPr="00A868DA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التفاعلات </w:t>
            </w:r>
            <w:r w:rsidRPr="00A868DA">
              <w:rPr>
                <w:rFonts w:asciiTheme="majorBidi" w:hAnsiTheme="majorBidi" w:cstheme="majorBidi"/>
                <w:color w:val="000000"/>
                <w:rtl/>
              </w:rPr>
              <w:t xml:space="preserve"> الموازية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، التفاعلات العكوسية، </w:t>
            </w:r>
            <w:r w:rsidRPr="00A868DA">
              <w:rPr>
                <w:rFonts w:asciiTheme="majorBidi" w:hAnsiTheme="majorBidi" w:cstheme="majorBidi"/>
                <w:color w:val="000000"/>
                <w:rtl/>
              </w:rPr>
              <w:t>تأثير النظائر الحركية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shd w:val="clear" w:color="auto" w:fill="FFFFFF"/>
                <w:rtl/>
                <w:lang w:bidi="ar-JO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7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</w:p>
          <w:p w:rsidR="00C215F1" w:rsidRPr="00AF69CC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التفاعلات احادية</w:t>
            </w:r>
            <w:r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5A3EFC">
              <w:rPr>
                <w:rFonts w:asciiTheme="majorBidi" w:hAnsiTheme="majorBidi" w:cstheme="majorBidi"/>
                <w:color w:val="000000"/>
                <w:rtl/>
              </w:rPr>
              <w:t xml:space="preserve"> الجزيئية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: الية لينديمان، الية لينديمان </w:t>
            </w:r>
            <w:r>
              <w:rPr>
                <w:rFonts w:asciiTheme="majorBidi" w:hAnsiTheme="majorBidi" w:cstheme="majorBidi"/>
                <w:color w:val="000000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هنشلوود، </w:t>
            </w:r>
            <w:r>
              <w:rPr>
                <w:rFonts w:asciiTheme="majorBidi" w:hAnsiTheme="majorBidi" w:cstheme="majorBidi"/>
                <w:color w:val="000000"/>
                <w:rtl/>
              </w:rPr>
              <w:t>طاقة ت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نشيط</w:t>
            </w:r>
            <w:r>
              <w:rPr>
                <w:rFonts w:asciiTheme="majorBidi" w:hAnsiTheme="majorBidi" w:cstheme="majorBidi"/>
                <w:color w:val="000000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تفاعل</w:t>
            </w:r>
            <w:r w:rsidRPr="009673CB">
              <w:rPr>
                <w:rFonts w:asciiTheme="majorBidi" w:hAnsiTheme="majorBidi" w:cstheme="majorBidi"/>
                <w:color w:val="000000"/>
                <w:rtl/>
              </w:rPr>
              <w:t xml:space="preserve"> مركب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8</w:t>
            </w:r>
          </w:p>
        </w:tc>
      </w:tr>
      <w:tr w:rsidR="00C215F1" w:rsidTr="00387133">
        <w:trPr>
          <w:trHeight w:val="1577"/>
        </w:trPr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</w:pPr>
          </w:p>
          <w:p w:rsidR="00C215F1" w:rsidRPr="0009079C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212121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JO"/>
              </w:rPr>
              <w:t>فصل</w:t>
            </w:r>
            <w:r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JO"/>
              </w:rPr>
              <w:t xml:space="preserve">ثالث و العشرون </w:t>
            </w:r>
            <w:r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 xml:space="preserve">حركية 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</w:rPr>
              <w:t>التفاعلات</w:t>
            </w:r>
            <w:r w:rsidRPr="00A757F1"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 xml:space="preserve"> المعقد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</w:rPr>
              <w:t>ة</w:t>
            </w:r>
            <w:r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  <w:t xml:space="preserve">  </w:t>
            </w:r>
          </w:p>
          <w:p w:rsidR="00C215F1" w:rsidRPr="007655FF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  <w:lang w:bidi="ar-JO"/>
              </w:rPr>
            </w:pPr>
            <w:r w:rsidRPr="00F41330"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  <w:t>التفاعلات السلسلية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JO"/>
              </w:rPr>
              <w:t>:</w:t>
            </w:r>
            <w:r w:rsidRPr="002F1192"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F1192">
              <w:rPr>
                <w:rFonts w:asciiTheme="majorBidi" w:hAnsiTheme="majorBidi" w:cstheme="majorBidi"/>
                <w:color w:val="000000"/>
                <w:rtl/>
              </w:rPr>
              <w:t>قوانين معدل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سرعة</w:t>
            </w:r>
            <w:r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التفاعلات</w:t>
            </w:r>
            <w:r w:rsidRPr="002F1192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ال</w:t>
            </w:r>
            <w:r w:rsidRPr="002F1192">
              <w:rPr>
                <w:rFonts w:asciiTheme="majorBidi" w:hAnsiTheme="majorBidi" w:cstheme="majorBidi"/>
                <w:color w:val="000000"/>
                <w:rtl/>
              </w:rPr>
              <w:t>سلسل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ية و </w:t>
            </w:r>
            <w:r>
              <w:rPr>
                <w:rFonts w:asciiTheme="majorBidi" w:hAnsiTheme="majorBidi" w:cstheme="majorBidi"/>
                <w:color w:val="000000"/>
                <w:rtl/>
              </w:rPr>
              <w:t xml:space="preserve">طاقة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ال</w:t>
            </w:r>
            <w:r>
              <w:rPr>
                <w:rFonts w:asciiTheme="majorBidi" w:hAnsiTheme="majorBidi" w:cstheme="majorBidi"/>
                <w:color w:val="000000"/>
                <w:rtl/>
              </w:rPr>
              <w:t>ت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نشيط، حركية تفاعلات ال</w:t>
            </w:r>
            <w:r w:rsidRPr="008D7791">
              <w:rPr>
                <w:rFonts w:asciiTheme="majorBidi" w:hAnsiTheme="majorBidi" w:cstheme="majorBidi"/>
                <w:color w:val="000000"/>
                <w:rtl/>
              </w:rPr>
              <w:t>انفجارات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9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212121"/>
                <w:rtl/>
                <w:lang w:bidi="ar-JO"/>
              </w:rPr>
            </w:pPr>
          </w:p>
          <w:p w:rsidR="00C215F1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2121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  <w:lang w:bidi="ar-JO"/>
              </w:rPr>
              <w:t xml:space="preserve">الفصل الرابع و العشرون  </w:t>
            </w:r>
            <w:r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>دينام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</w:rPr>
              <w:t>كية</w:t>
            </w:r>
            <w:r w:rsidRPr="00793D76"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 xml:space="preserve"> التفاعل الجزيئي</w:t>
            </w:r>
          </w:p>
          <w:p w:rsidR="00C215F1" w:rsidRPr="00D73226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  <w:rtl/>
              </w:rPr>
            </w:pPr>
            <w:r w:rsidRPr="0076427B">
              <w:rPr>
                <w:rFonts w:asciiTheme="majorBidi" w:hAnsiTheme="majorBidi" w:cstheme="majorBidi"/>
                <w:color w:val="000000"/>
                <w:rtl/>
              </w:rPr>
              <w:t>نظرية التصادم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،</w:t>
            </w:r>
            <w:r w:rsidRPr="00046956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التفاعلات</w:t>
            </w:r>
            <w:r>
              <w:rPr>
                <w:rFonts w:asciiTheme="majorBidi" w:hAnsiTheme="majorBidi" w:cstheme="majorBidi"/>
                <w:color w:val="000000"/>
                <w:rtl/>
              </w:rPr>
              <w:t xml:space="preserve"> التي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ي</w:t>
            </w:r>
            <w:r w:rsidRPr="00046956">
              <w:rPr>
                <w:rFonts w:asciiTheme="majorBidi" w:hAnsiTheme="majorBidi" w:cstheme="majorBidi"/>
                <w:color w:val="000000"/>
                <w:rtl/>
              </w:rPr>
              <w:t>سيطر عليها الانتشار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،</w:t>
            </w:r>
            <w:r w:rsidRPr="00D73226">
              <w:rPr>
                <w:rFonts w:asciiTheme="majorBidi" w:hAnsiTheme="majorBidi" w:cstheme="majorBidi"/>
                <w:color w:val="000000"/>
                <w:rtl/>
              </w:rPr>
              <w:t xml:space="preserve"> نظرية الحالة الانتقالية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10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212121"/>
                <w:rtl/>
                <w:lang w:bidi="ar-JO"/>
              </w:rPr>
            </w:pPr>
          </w:p>
          <w:p w:rsidR="00C215F1" w:rsidRPr="006669B2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212121"/>
              </w:rPr>
            </w:pPr>
            <w:r>
              <w:rPr>
                <w:rFonts w:asciiTheme="majorBidi" w:hAnsiTheme="majorBidi" w:cstheme="majorBidi"/>
                <w:color w:val="212121"/>
                <w:rtl/>
              </w:rPr>
              <w:t xml:space="preserve">حركية </w:t>
            </w:r>
            <w:r>
              <w:rPr>
                <w:rFonts w:asciiTheme="majorBidi" w:hAnsiTheme="majorBidi" w:cstheme="majorBidi" w:hint="cs"/>
                <w:color w:val="212121"/>
                <w:rtl/>
              </w:rPr>
              <w:t>التفاعلات</w:t>
            </w:r>
            <w:r>
              <w:rPr>
                <w:rFonts w:asciiTheme="majorBidi" w:hAnsiTheme="majorBidi" w:cstheme="majorBidi"/>
                <w:color w:val="212121"/>
                <w:rtl/>
              </w:rPr>
              <w:t xml:space="preserve"> في ال</w:t>
            </w:r>
            <w:r>
              <w:rPr>
                <w:rFonts w:asciiTheme="majorBidi" w:hAnsiTheme="majorBidi" w:cstheme="majorBidi" w:hint="cs"/>
                <w:color w:val="212121"/>
                <w:rtl/>
              </w:rPr>
              <w:t>محاليل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11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212121"/>
                <w:rtl/>
              </w:rPr>
            </w:pPr>
          </w:p>
          <w:p w:rsidR="00C215F1" w:rsidRPr="00154EC8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212121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>الفصل ال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</w:rPr>
              <w:t>خامس و العشرون</w:t>
            </w:r>
            <w:r>
              <w:rPr>
                <w:rFonts w:asciiTheme="majorBidi" w:hAnsiTheme="majorBidi" w:cstheme="majorBidi"/>
                <w:b/>
                <w:bCs/>
                <w:color w:val="212121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  <w:lang w:bidi="ar-JO"/>
              </w:rPr>
              <w:t xml:space="preserve"> كيمياء السطوح</w:t>
            </w:r>
          </w:p>
          <w:p w:rsidR="00C215F1" w:rsidRPr="00AF69CC" w:rsidRDefault="00C215F1" w:rsidP="00387133">
            <w:pPr>
              <w:pStyle w:val="HTMLPreformatted"/>
              <w:shd w:val="clear" w:color="auto" w:fill="FFFFFF"/>
              <w:jc w:val="right"/>
              <w:rPr>
                <w:rFonts w:ascii="inherit" w:hAnsi="inherit"/>
                <w:color w:val="212121"/>
                <w:rtl/>
              </w:rPr>
            </w:pPr>
            <w:r w:rsidRPr="004E011C">
              <w:rPr>
                <w:rFonts w:asciiTheme="majorBidi" w:hAnsiTheme="majorBidi" w:cstheme="majorBidi"/>
                <w:b/>
                <w:bCs/>
                <w:color w:val="212121"/>
                <w:rtl/>
              </w:rPr>
              <w:lastRenderedPageBreak/>
              <w:t>مدى الامتزاز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color w:val="212121"/>
                <w:rtl/>
              </w:rPr>
              <w:t xml:space="preserve">الامتزاز الفيزيائي، الامتزاز الكيميائي، 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</w:rPr>
              <w:t xml:space="preserve">الامتزاز متساوي الحرارة: </w:t>
            </w:r>
            <w:r w:rsidRPr="005B307F">
              <w:rPr>
                <w:rFonts w:asciiTheme="majorBidi" w:hAnsiTheme="majorBidi" w:cstheme="majorBidi" w:hint="cs"/>
                <w:color w:val="212121"/>
                <w:rtl/>
              </w:rPr>
              <w:t>متساوي الحرارة (</w:t>
            </w:r>
            <w:r w:rsidRPr="005B307F">
              <w:rPr>
                <w:rFonts w:asciiTheme="majorBidi" w:hAnsiTheme="majorBidi" w:cstheme="majorBidi"/>
                <w:color w:val="212121"/>
                <w:rtl/>
              </w:rPr>
              <w:t>الأيسوثرم</w:t>
            </w:r>
            <w:r w:rsidRPr="005B307F">
              <w:rPr>
                <w:rFonts w:asciiTheme="majorBidi" w:hAnsiTheme="majorBidi" w:cstheme="majorBidi" w:hint="cs"/>
                <w:color w:val="212121"/>
                <w:rtl/>
              </w:rPr>
              <w:t>)</w:t>
            </w:r>
            <w:r w:rsidRPr="005B307F">
              <w:rPr>
                <w:rFonts w:asciiTheme="majorBidi" w:hAnsiTheme="majorBidi" w:cstheme="majorBidi"/>
                <w:color w:val="212121"/>
                <w:rtl/>
              </w:rPr>
              <w:t xml:space="preserve"> لانجموير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12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212121"/>
              </w:rPr>
            </w:pPr>
          </w:p>
          <w:p w:rsidR="00C215F1" w:rsidRPr="00FC278F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212121"/>
              </w:rPr>
              <w:t>BET</w:t>
            </w:r>
            <w:r w:rsidRPr="005B307F">
              <w:rPr>
                <w:rFonts w:asciiTheme="majorBidi" w:hAnsiTheme="majorBidi" w:cstheme="majorBidi" w:hint="cs"/>
                <w:color w:val="212121"/>
                <w:rtl/>
              </w:rPr>
              <w:t xml:space="preserve"> متساوي الحرارة (</w:t>
            </w:r>
            <w:r w:rsidRPr="005B307F">
              <w:rPr>
                <w:rFonts w:asciiTheme="majorBidi" w:hAnsiTheme="majorBidi" w:cstheme="majorBidi"/>
                <w:color w:val="212121"/>
                <w:rtl/>
              </w:rPr>
              <w:t>الأيسوثرم</w:t>
            </w:r>
            <w:r w:rsidRPr="005B307F">
              <w:rPr>
                <w:rFonts w:asciiTheme="majorBidi" w:hAnsiTheme="majorBidi" w:cstheme="majorBidi" w:hint="cs"/>
                <w:color w:val="212121"/>
                <w:rtl/>
              </w:rPr>
              <w:t>)</w:t>
            </w:r>
            <w:r>
              <w:rPr>
                <w:rFonts w:asciiTheme="majorBidi" w:hAnsiTheme="majorBidi" w:cstheme="majorBidi"/>
                <w:color w:val="212121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212121"/>
                <w:rtl/>
              </w:rPr>
              <w:t xml:space="preserve">فريولندك، </w:t>
            </w:r>
            <w:r w:rsidRPr="005B307F">
              <w:rPr>
                <w:rFonts w:asciiTheme="majorBidi" w:hAnsiTheme="majorBidi" w:cstheme="majorBidi" w:hint="cs"/>
                <w:color w:val="212121"/>
                <w:rtl/>
              </w:rPr>
              <w:t xml:space="preserve"> متساوي الحرارة (</w:t>
            </w:r>
            <w:r w:rsidRPr="005B307F">
              <w:rPr>
                <w:rFonts w:asciiTheme="majorBidi" w:hAnsiTheme="majorBidi" w:cstheme="majorBidi"/>
                <w:color w:val="212121"/>
                <w:rtl/>
              </w:rPr>
              <w:t>الأيسوثرم</w:t>
            </w:r>
            <w:r w:rsidRPr="005B307F">
              <w:rPr>
                <w:rFonts w:asciiTheme="majorBidi" w:hAnsiTheme="majorBidi" w:cstheme="majorBidi" w:hint="cs"/>
                <w:color w:val="212121"/>
                <w:rtl/>
              </w:rPr>
              <w:t>)</w:t>
            </w:r>
            <w:r w:rsidRPr="005B307F">
              <w:rPr>
                <w:rFonts w:asciiTheme="majorBidi" w:hAnsiTheme="majorBidi" w:cstheme="majorBidi"/>
                <w:color w:val="212121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212121"/>
              </w:rPr>
              <w:t xml:space="preserve"> </w:t>
            </w:r>
            <w:r>
              <w:rPr>
                <w:rFonts w:asciiTheme="majorBidi" w:hAnsiTheme="majorBidi" w:cstheme="majorBidi" w:hint="cs"/>
                <w:color w:val="212121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212121"/>
              </w:rPr>
              <w:t xml:space="preserve"> 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13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C215F1" w:rsidRPr="00AF69CC" w:rsidRDefault="00C215F1" w:rsidP="00387133">
            <w:pPr>
              <w:pStyle w:val="HTMLPreformatted"/>
              <w:shd w:val="clear" w:color="auto" w:fill="FFFFFF"/>
              <w:jc w:val="right"/>
              <w:rPr>
                <w:rFonts w:asciiTheme="majorBidi" w:hAnsiTheme="majorBidi" w:cstheme="majorBidi"/>
                <w:b/>
                <w:bCs/>
                <w:color w:val="212121"/>
                <w:lang w:bidi="ar-JO"/>
              </w:rPr>
            </w:pPr>
            <w:r w:rsidRPr="00764F4F"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>معدلات</w:t>
            </w:r>
            <w:r>
              <w:rPr>
                <w:rFonts w:asciiTheme="majorBidi" w:hAnsiTheme="majorBidi" w:cstheme="majorBidi" w:hint="cs"/>
                <w:b/>
                <w:bCs/>
                <w:color w:val="212121"/>
                <w:rtl/>
                <w:lang w:bidi="ar-JO"/>
              </w:rPr>
              <w:t xml:space="preserve"> سرعة</w:t>
            </w:r>
            <w:r w:rsidRPr="00764F4F"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 xml:space="preserve"> العمليات السطحية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14</w:t>
            </w:r>
          </w:p>
        </w:tc>
      </w:tr>
      <w:tr w:rsidR="00C215F1" w:rsidTr="00387133">
        <w:tc>
          <w:tcPr>
            <w:tcW w:w="7763" w:type="dxa"/>
          </w:tcPr>
          <w:p w:rsidR="00C215F1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333333"/>
                <w:shd w:val="clear" w:color="auto" w:fill="F9F9F9"/>
                <w:rtl/>
                <w:lang w:bidi="ar-JO"/>
              </w:rPr>
            </w:pPr>
          </w:p>
          <w:p w:rsidR="00C215F1" w:rsidRPr="00962254" w:rsidRDefault="00C215F1" w:rsidP="00387133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254">
              <w:rPr>
                <w:rFonts w:asciiTheme="majorBidi" w:hAnsiTheme="majorBidi" w:cstheme="majorBidi"/>
                <w:color w:val="333333"/>
                <w:shd w:val="clear" w:color="auto" w:fill="F9F9F9"/>
                <w:rtl/>
              </w:rPr>
              <w:t>الامتحان النهائي</w:t>
            </w:r>
          </w:p>
        </w:tc>
        <w:tc>
          <w:tcPr>
            <w:tcW w:w="759" w:type="dxa"/>
          </w:tcPr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</w:p>
          <w:p w:rsidR="00C215F1" w:rsidRDefault="00C215F1" w:rsidP="00387133">
            <w:pPr>
              <w:autoSpaceDE w:val="0"/>
              <w:autoSpaceDN w:val="0"/>
              <w:bidi w:val="0"/>
              <w:adjustRightInd w:val="0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>15+16</w:t>
            </w:r>
          </w:p>
        </w:tc>
      </w:tr>
    </w:tbl>
    <w:p w:rsidR="00C215F1" w:rsidRPr="00984967" w:rsidRDefault="00C215F1" w:rsidP="00C215F1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Verdana" w:hAnsi="Verdana" w:cs="Minion-Regular"/>
          <w:color w:val="000000"/>
          <w:sz w:val="20"/>
          <w:szCs w:val="20"/>
        </w:rPr>
      </w:pPr>
      <w:r w:rsidRPr="00984967">
        <w:rPr>
          <w:rFonts w:ascii="Verdana" w:hAnsi="Verdana" w:cs="Minion-Regular"/>
          <w:color w:val="000000"/>
          <w:sz w:val="20"/>
          <w:szCs w:val="20"/>
        </w:rPr>
        <w:t xml:space="preserve"> </w:t>
      </w:r>
      <w:r w:rsidRPr="00A3759D">
        <w:rPr>
          <w:rFonts w:ascii="Verdana" w:hAnsi="Verdana" w:cs="Minion-Regular"/>
          <w:color w:val="000000"/>
          <w:sz w:val="20"/>
          <w:szCs w:val="20"/>
        </w:rPr>
        <w:t xml:space="preserve">                         </w:t>
      </w:r>
    </w:p>
    <w:p w:rsidR="00C215F1" w:rsidRPr="00984967" w:rsidRDefault="00C215F1" w:rsidP="00C215F1">
      <w:pPr>
        <w:autoSpaceDE w:val="0"/>
        <w:autoSpaceDN w:val="0"/>
        <w:bidi w:val="0"/>
        <w:adjustRightInd w:val="0"/>
        <w:spacing w:after="0" w:line="240" w:lineRule="auto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 New Roman"/>
          <w:b/>
          <w:bCs/>
          <w:color w:val="000000"/>
          <w:sz w:val="20"/>
          <w:szCs w:val="20"/>
        </w:rPr>
        <w:t>Textbook</w:t>
      </w:r>
      <w:r w:rsidRPr="005D2CC7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: </w:t>
      </w:r>
      <w:r w:rsidRPr="005D2CC7">
        <w:rPr>
          <w:rFonts w:ascii="Verdana" w:hAnsi="Verdana" w:cs="Times New Roman"/>
          <w:color w:val="000000"/>
          <w:sz w:val="20"/>
          <w:szCs w:val="20"/>
        </w:rPr>
        <w:t xml:space="preserve">Peter Atkins and Julio de Paula, </w:t>
      </w:r>
      <w:r w:rsidRPr="00EB57C5">
        <w:rPr>
          <w:rFonts w:ascii="Verdana" w:hAnsi="Verdana" w:cs="Times New Roman"/>
          <w:color w:val="000000"/>
          <w:sz w:val="20"/>
          <w:szCs w:val="20"/>
        </w:rPr>
        <w:t>Atkins’ Physical Chemistry</w:t>
      </w:r>
      <w:r w:rsidRPr="005D2CC7">
        <w:rPr>
          <w:rFonts w:ascii="Verdana" w:hAnsi="Verdana" w:cs="Times New Roman"/>
          <w:color w:val="000000"/>
          <w:sz w:val="20"/>
          <w:szCs w:val="20"/>
        </w:rPr>
        <w:t>, 8th ed., W. H.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5D2CC7">
        <w:rPr>
          <w:rFonts w:ascii="Verdana" w:hAnsi="Verdana" w:cs="Times New Roman"/>
          <w:color w:val="000000"/>
          <w:sz w:val="20"/>
          <w:szCs w:val="20"/>
        </w:rPr>
        <w:t>Fr</w:t>
      </w:r>
      <w:r>
        <w:rPr>
          <w:rFonts w:ascii="Verdana" w:hAnsi="Verdana" w:cs="Times New Roman"/>
          <w:color w:val="000000"/>
          <w:sz w:val="20"/>
          <w:szCs w:val="20"/>
        </w:rPr>
        <w:t xml:space="preserve">eeman, New York, 2006.                                                 </w:t>
      </w:r>
      <w:r w:rsidRPr="00984967">
        <w:rPr>
          <w:rFonts w:ascii="Verdana" w:hAnsi="Verdana" w:cs="Times-Roman"/>
          <w:color w:val="000000"/>
          <w:sz w:val="20"/>
          <w:szCs w:val="20"/>
        </w:rPr>
        <w:t xml:space="preserve">               </w:t>
      </w:r>
    </w:p>
    <w:p w:rsidR="00C215F1" w:rsidRDefault="00C215F1" w:rsidP="00C215F1">
      <w:pPr>
        <w:jc w:val="center"/>
        <w:rPr>
          <w:rFonts w:asciiTheme="majorBidi" w:hAnsiTheme="majorBidi" w:cstheme="majorBidi"/>
          <w:color w:val="000000"/>
          <w:rtl/>
          <w:lang w:bidi="ar-JO"/>
        </w:rPr>
      </w:pPr>
    </w:p>
    <w:p w:rsidR="00C215F1" w:rsidRDefault="00C215F1" w:rsidP="00C215F1">
      <w:pPr>
        <w:jc w:val="center"/>
        <w:rPr>
          <w:rFonts w:ascii="Verdana" w:hAnsi="Verdana" w:cstheme="majorBidi"/>
          <w:b/>
          <w:bCs/>
          <w:color w:val="000000"/>
          <w:sz w:val="20"/>
          <w:szCs w:val="20"/>
          <w:lang w:bidi="ar-JO"/>
        </w:rPr>
      </w:pPr>
    </w:p>
    <w:p w:rsidR="00C215F1" w:rsidRDefault="00C215F1" w:rsidP="007541C7">
      <w:pPr>
        <w:jc w:val="right"/>
        <w:rPr>
          <w:rFonts w:ascii="Verdana" w:hAnsi="Verdana" w:cstheme="majorBidi"/>
          <w:b/>
          <w:bCs/>
          <w:color w:val="000000"/>
          <w:sz w:val="20"/>
          <w:szCs w:val="20"/>
        </w:rPr>
      </w:pPr>
    </w:p>
    <w:p w:rsidR="007541C7" w:rsidRDefault="007541C7" w:rsidP="007541C7">
      <w:pPr>
        <w:jc w:val="right"/>
        <w:rPr>
          <w:rFonts w:ascii="Verdana" w:hAnsi="Verdana" w:cstheme="majorBidi"/>
          <w:b/>
          <w:bCs/>
          <w:color w:val="000000"/>
          <w:sz w:val="20"/>
          <w:szCs w:val="20"/>
        </w:rPr>
      </w:pPr>
      <w:r>
        <w:rPr>
          <w:rFonts w:ascii="Verdana" w:hAnsi="Verdana" w:cstheme="majorBidi"/>
          <w:b/>
          <w:bCs/>
          <w:color w:val="000000"/>
          <w:sz w:val="20"/>
          <w:szCs w:val="20"/>
        </w:rPr>
        <w:t xml:space="preserve">Chem (0303342) Physical Chemistry </w:t>
      </w:r>
      <w:proofErr w:type="gramStart"/>
      <w:r>
        <w:rPr>
          <w:rFonts w:ascii="Verdana" w:hAnsi="Verdana" w:cstheme="majorBidi"/>
          <w:b/>
          <w:bCs/>
          <w:color w:val="000000"/>
          <w:sz w:val="20"/>
          <w:szCs w:val="20"/>
        </w:rPr>
        <w:t>2  (</w:t>
      </w:r>
      <w:proofErr w:type="gramEnd"/>
      <w:r>
        <w:rPr>
          <w:rFonts w:ascii="Verdana" w:hAnsi="Verdana" w:cstheme="majorBidi"/>
          <w:b/>
          <w:bCs/>
          <w:color w:val="000000"/>
          <w:sz w:val="20"/>
          <w:szCs w:val="20"/>
        </w:rPr>
        <w:t>3 C.H) Prerequisite: 0303241</w:t>
      </w:r>
    </w:p>
    <w:p w:rsidR="003D52FD" w:rsidRDefault="003D52FD" w:rsidP="003D52FD">
      <w:pPr>
        <w:pStyle w:val="PlainText"/>
        <w:spacing w:before="40" w:after="40"/>
        <w:rPr>
          <w:rFonts w:ascii="Verdana" w:hAnsi="Verdana" w:cs="Arial"/>
        </w:rPr>
      </w:pPr>
      <w:r w:rsidRPr="0058173C">
        <w:rPr>
          <w:rStyle w:val="Emphasis"/>
          <w:rFonts w:ascii="Verdana" w:hAnsi="Verdana"/>
          <w:b/>
          <w:bCs/>
          <w:i w:val="0"/>
          <w:iCs w:val="0"/>
        </w:rPr>
        <w:t xml:space="preserve">Course </w:t>
      </w:r>
      <w:r w:rsidRPr="0058173C">
        <w:rPr>
          <w:rFonts w:ascii="Verdana" w:hAnsi="Verdana"/>
          <w:b/>
          <w:bCs/>
        </w:rPr>
        <w:t>Description:</w:t>
      </w:r>
      <w:r w:rsidRPr="00CF4471">
        <w:rPr>
          <w:rStyle w:val="Emphasis"/>
          <w:rFonts w:ascii="Verdana" w:hAnsi="Verdana"/>
          <w:i w:val="0"/>
          <w:iCs w:val="0"/>
        </w:rPr>
        <w:t xml:space="preserve"> </w:t>
      </w:r>
      <w:r w:rsidRPr="00F4726C">
        <w:rPr>
          <w:rFonts w:ascii="Verdana" w:hAnsi="Verdana" w:cs="Arial"/>
        </w:rPr>
        <w:t xml:space="preserve">This </w:t>
      </w:r>
      <w:r>
        <w:rPr>
          <w:rFonts w:ascii="Verdana" w:hAnsi="Verdana" w:cs="Arial"/>
        </w:rPr>
        <w:t>is one semester course and the second in Physical C</w:t>
      </w:r>
      <w:r w:rsidRPr="00F4726C">
        <w:rPr>
          <w:rFonts w:ascii="Verdana" w:hAnsi="Verdana" w:cs="Arial"/>
        </w:rPr>
        <w:t>hemistry</w:t>
      </w:r>
      <w:r>
        <w:rPr>
          <w:rFonts w:ascii="Verdana" w:hAnsi="Verdana" w:cs="Arial"/>
        </w:rPr>
        <w:t xml:space="preserve"> courses</w:t>
      </w:r>
      <w:r w:rsidRPr="00F4726C">
        <w:rPr>
          <w:rFonts w:ascii="Verdana" w:hAnsi="Verdana" w:cs="Arial"/>
        </w:rPr>
        <w:t xml:space="preserve"> deals mainly with </w:t>
      </w:r>
      <w:r>
        <w:rPr>
          <w:rFonts w:ascii="Verdana" w:hAnsi="Verdana" w:cs="Arial"/>
        </w:rPr>
        <w:t xml:space="preserve">equilibrium </w:t>
      </w:r>
      <w:r w:rsidRPr="00F4726C">
        <w:rPr>
          <w:rFonts w:ascii="Verdana" w:hAnsi="Verdana" w:cs="Arial"/>
        </w:rPr>
        <w:t>electrochemistry</w:t>
      </w:r>
      <w:r>
        <w:rPr>
          <w:rFonts w:ascii="Verdana" w:hAnsi="Verdana" w:cs="Arial"/>
        </w:rPr>
        <w:t xml:space="preserve">, molecules in motion, </w:t>
      </w:r>
      <w:r w:rsidRPr="00F4726C">
        <w:rPr>
          <w:rFonts w:ascii="Verdana" w:hAnsi="Verdana" w:cs="Arial"/>
        </w:rPr>
        <w:t>chemical kinetics subjects</w:t>
      </w:r>
      <w:r>
        <w:rPr>
          <w:rFonts w:ascii="Verdana" w:hAnsi="Verdana" w:cs="Arial"/>
        </w:rPr>
        <w:t xml:space="preserve"> and </w:t>
      </w:r>
      <w:r w:rsidRPr="009814C6">
        <w:rPr>
          <w:rFonts w:ascii="Verdana" w:hAnsi="Verdana" w:cs="Arial"/>
        </w:rPr>
        <w:t>introduction to surface chemistry</w:t>
      </w:r>
      <w:r w:rsidRPr="00F4726C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 xml:space="preserve">   </w:t>
      </w:r>
    </w:p>
    <w:p w:rsidR="003D52FD" w:rsidRDefault="003D52FD" w:rsidP="003D52FD">
      <w:pPr>
        <w:pStyle w:val="PlainText"/>
        <w:spacing w:before="40" w:after="40"/>
        <w:rPr>
          <w:rFonts w:ascii="Verdana" w:hAnsi="Verdana" w:cs="Arial"/>
        </w:rPr>
      </w:pPr>
      <w:r w:rsidRPr="00F4726C">
        <w:rPr>
          <w:rFonts w:ascii="Verdana" w:hAnsi="Verdana" w:cs="Arial"/>
        </w:rPr>
        <w:t>The course begins by outlining the</w:t>
      </w:r>
      <w:r>
        <w:rPr>
          <w:rFonts w:ascii="Verdana" w:hAnsi="Verdana" w:cs="Arial"/>
        </w:rPr>
        <w:t xml:space="preserve"> equilibrium</w:t>
      </w:r>
      <w:r w:rsidRPr="00F4726C">
        <w:rPr>
          <w:rFonts w:ascii="Verdana" w:hAnsi="Verdana" w:cs="Arial"/>
        </w:rPr>
        <w:t xml:space="preserve"> electrochemistry</w:t>
      </w:r>
      <w:r>
        <w:rPr>
          <w:rFonts w:ascii="Verdana" w:hAnsi="Verdana" w:cs="Arial"/>
        </w:rPr>
        <w:t>, types of e</w:t>
      </w:r>
      <w:r w:rsidRPr="00F4726C">
        <w:rPr>
          <w:rFonts w:ascii="Verdana" w:hAnsi="Verdana" w:cs="Arial"/>
        </w:rPr>
        <w:t>lectrochemical cells and their reactions will be considered</w:t>
      </w:r>
      <w:r w:rsidR="00EC60E8">
        <w:rPr>
          <w:rFonts w:ascii="Verdana" w:hAnsi="Verdana" w:cs="Arial"/>
        </w:rPr>
        <w:t xml:space="preserve"> and then</w:t>
      </w:r>
      <w:r>
        <w:rPr>
          <w:rFonts w:ascii="Verdana" w:hAnsi="Verdana" w:cs="Arial"/>
        </w:rPr>
        <w:t xml:space="preserve"> the thermodynamics of the galvanic cells,</w:t>
      </w:r>
      <w:r w:rsidRPr="00F4726C">
        <w:rPr>
          <w:rFonts w:ascii="Verdana" w:hAnsi="Verdana" w:cs="Arial"/>
        </w:rPr>
        <w:t xml:space="preserve"> Nernst</w:t>
      </w:r>
      <w:r>
        <w:rPr>
          <w:rFonts w:ascii="Verdana" w:hAnsi="Verdana" w:cs="Arial"/>
        </w:rPr>
        <w:t xml:space="preserve"> equation </w:t>
      </w:r>
      <w:r w:rsidRPr="00F4726C">
        <w:rPr>
          <w:rFonts w:ascii="Verdana" w:hAnsi="Verdana" w:cs="Arial"/>
        </w:rPr>
        <w:t>and temperature coefficient</w:t>
      </w:r>
      <w:r>
        <w:rPr>
          <w:rFonts w:ascii="Verdana" w:hAnsi="Verdana" w:cs="Arial"/>
        </w:rPr>
        <w:t xml:space="preserve"> of </w:t>
      </w:r>
      <w:proofErr w:type="spellStart"/>
      <w:r>
        <w:rPr>
          <w:rFonts w:ascii="Verdana" w:hAnsi="Verdana" w:cs="Arial"/>
        </w:rPr>
        <w:t>emf</w:t>
      </w:r>
      <w:proofErr w:type="spellEnd"/>
      <w:r>
        <w:rPr>
          <w:rFonts w:ascii="Verdana" w:hAnsi="Verdana" w:cs="Arial"/>
        </w:rPr>
        <w:t xml:space="preserve"> </w:t>
      </w:r>
      <w:r w:rsidRPr="00F4726C">
        <w:rPr>
          <w:rFonts w:ascii="Verdana" w:hAnsi="Verdana" w:cs="Arial"/>
        </w:rPr>
        <w:t xml:space="preserve">will be </w:t>
      </w:r>
      <w:r>
        <w:rPr>
          <w:rFonts w:ascii="Verdana" w:hAnsi="Verdana" w:cs="Arial"/>
        </w:rPr>
        <w:t xml:space="preserve">discussed. Application of </w:t>
      </w:r>
      <w:proofErr w:type="spellStart"/>
      <w:r>
        <w:rPr>
          <w:rFonts w:ascii="Verdana" w:hAnsi="Verdana" w:cs="Arial"/>
        </w:rPr>
        <w:t>emf</w:t>
      </w:r>
      <w:proofErr w:type="spellEnd"/>
      <w:r>
        <w:rPr>
          <w:rFonts w:ascii="Verdana" w:hAnsi="Verdana" w:cs="Arial"/>
        </w:rPr>
        <w:t xml:space="preserve"> and m</w:t>
      </w:r>
      <w:r w:rsidRPr="00F4726C">
        <w:rPr>
          <w:rFonts w:ascii="Verdana" w:hAnsi="Verdana" w:cs="Arial"/>
        </w:rPr>
        <w:t xml:space="preserve">easurements will be then followed. </w:t>
      </w:r>
      <w:r>
        <w:rPr>
          <w:rFonts w:ascii="Verdana" w:hAnsi="Verdana" w:cs="Arial"/>
        </w:rPr>
        <w:t xml:space="preserve">                                           </w:t>
      </w:r>
    </w:p>
    <w:p w:rsidR="003D52FD" w:rsidRDefault="003D52FD" w:rsidP="003D52FD">
      <w:pPr>
        <w:pStyle w:val="PlainText"/>
        <w:spacing w:before="40" w:after="40"/>
        <w:rPr>
          <w:rFonts w:ascii="Verdana" w:hAnsi="Verdana" w:cs="Arial"/>
        </w:rPr>
      </w:pPr>
      <w:r>
        <w:rPr>
          <w:rFonts w:ascii="Verdana" w:hAnsi="Verdana" w:cs="Arial"/>
        </w:rPr>
        <w:t>The second subject deals with c</w:t>
      </w:r>
      <w:r w:rsidRPr="00F4726C">
        <w:rPr>
          <w:rFonts w:ascii="Verdana" w:hAnsi="Verdana" w:cs="Arial"/>
        </w:rPr>
        <w:t xml:space="preserve">onductivity, </w:t>
      </w:r>
      <w:proofErr w:type="gramStart"/>
      <w:r w:rsidRPr="00F4726C">
        <w:rPr>
          <w:rFonts w:ascii="Verdana" w:hAnsi="Verdana" w:cs="Arial"/>
        </w:rPr>
        <w:t>weak  and</w:t>
      </w:r>
      <w:proofErr w:type="gramEnd"/>
      <w:r w:rsidRPr="00F4726C">
        <w:rPr>
          <w:rFonts w:ascii="Verdana" w:hAnsi="Verdana" w:cs="Arial"/>
        </w:rPr>
        <w:t xml:space="preserve"> strong electrolytes</w:t>
      </w:r>
      <w:r>
        <w:rPr>
          <w:rFonts w:ascii="Verdana" w:hAnsi="Verdana"/>
        </w:rPr>
        <w:t xml:space="preserve">. </w:t>
      </w:r>
      <w:r w:rsidRPr="00F4726C">
        <w:rPr>
          <w:rFonts w:ascii="Verdana" w:hAnsi="Verdana" w:cs="Arial"/>
        </w:rPr>
        <w:t xml:space="preserve">Titles related </w:t>
      </w:r>
      <w:r w:rsidR="00EC60E8" w:rsidRPr="00F4726C">
        <w:rPr>
          <w:rFonts w:ascii="Verdana" w:hAnsi="Verdana" w:cs="Arial"/>
        </w:rPr>
        <w:t>to weak electrolytes</w:t>
      </w:r>
      <w:r w:rsidRPr="00F4726C">
        <w:rPr>
          <w:rFonts w:ascii="Verdana" w:hAnsi="Verdana" w:cs="Arial"/>
        </w:rPr>
        <w:t xml:space="preserve"> </w:t>
      </w:r>
      <w:r w:rsidR="00EC60E8" w:rsidRPr="00F4726C">
        <w:rPr>
          <w:rFonts w:ascii="Verdana" w:hAnsi="Verdana" w:cs="Arial"/>
        </w:rPr>
        <w:t>(Arrhenius</w:t>
      </w:r>
      <w:r w:rsidRPr="00F4726C">
        <w:rPr>
          <w:rFonts w:ascii="Verdana" w:hAnsi="Verdana" w:cs="Arial"/>
        </w:rPr>
        <w:t xml:space="preserve"> </w:t>
      </w:r>
      <w:r w:rsidRPr="001F60FB">
        <w:rPr>
          <w:rFonts w:ascii="Verdana" w:hAnsi="Verdana" w:cs="Arial"/>
        </w:rPr>
        <w:t>t</w:t>
      </w:r>
      <w:r>
        <w:rPr>
          <w:rFonts w:ascii="Verdana" w:hAnsi="Verdana" w:cs="Arial"/>
        </w:rPr>
        <w:t>heory and Ostwald's dilution law)</w:t>
      </w:r>
      <w:r w:rsidRPr="001F60FB">
        <w:rPr>
          <w:rFonts w:ascii="Verdana" w:hAnsi="Verdana" w:cs="Arial"/>
        </w:rPr>
        <w:t>, and others related to strong elec</w:t>
      </w:r>
      <w:r>
        <w:rPr>
          <w:rFonts w:ascii="Verdana" w:hAnsi="Verdana" w:cs="Arial"/>
        </w:rPr>
        <w:t xml:space="preserve">trolytes </w:t>
      </w:r>
      <w:r w:rsidR="00EC60E8">
        <w:rPr>
          <w:rFonts w:ascii="Verdana" w:hAnsi="Verdana" w:cs="Arial"/>
        </w:rPr>
        <w:t>(Debye</w:t>
      </w:r>
      <w:r>
        <w:rPr>
          <w:rFonts w:ascii="Verdana" w:hAnsi="Verdana" w:cs="Arial"/>
        </w:rPr>
        <w:t>-Huckel theory</w:t>
      </w:r>
      <w:r w:rsidRPr="001F60FB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Pr="001F60FB">
        <w:rPr>
          <w:rFonts w:ascii="Verdana" w:hAnsi="Verdana" w:cs="Arial"/>
        </w:rPr>
        <w:t xml:space="preserve">ionic </w:t>
      </w:r>
      <w:r w:rsidR="00EC60E8" w:rsidRPr="001F60FB">
        <w:rPr>
          <w:rFonts w:ascii="Verdana" w:hAnsi="Verdana" w:cs="Arial"/>
        </w:rPr>
        <w:t>atmosphere,</w:t>
      </w:r>
      <w:r w:rsidRPr="001F60FB">
        <w:rPr>
          <w:rFonts w:ascii="Verdana" w:hAnsi="Verdana" w:cs="Arial"/>
        </w:rPr>
        <w:t xml:space="preserve"> mechanisms of conductivity and some meth</w:t>
      </w:r>
      <w:r>
        <w:rPr>
          <w:rFonts w:ascii="Verdana" w:hAnsi="Verdana" w:cs="Arial"/>
        </w:rPr>
        <w:t xml:space="preserve">ods to measure conductivity and mobility </w:t>
      </w:r>
      <w:r w:rsidRPr="001F60FB">
        <w:rPr>
          <w:rFonts w:ascii="Verdana" w:hAnsi="Verdana" w:cs="Arial"/>
        </w:rPr>
        <w:t xml:space="preserve">will be discussed in </w:t>
      </w:r>
      <w:r w:rsidR="00EC60E8" w:rsidRPr="001F60FB">
        <w:rPr>
          <w:rFonts w:ascii="Verdana" w:hAnsi="Verdana" w:cs="Arial"/>
        </w:rPr>
        <w:t xml:space="preserve">details. </w:t>
      </w:r>
    </w:p>
    <w:p w:rsidR="003D52FD" w:rsidRDefault="003D52FD" w:rsidP="003D52FD">
      <w:pPr>
        <w:pStyle w:val="PlainText"/>
        <w:spacing w:before="40" w:after="40"/>
        <w:rPr>
          <w:rFonts w:ascii="Verdana" w:hAnsi="Verdana" w:cs="Arial"/>
        </w:rPr>
      </w:pPr>
      <w:r>
        <w:rPr>
          <w:rFonts w:ascii="Verdana" w:hAnsi="Verdana" w:cs="Arial"/>
        </w:rPr>
        <w:t xml:space="preserve">The third subject </w:t>
      </w:r>
      <w:r w:rsidRPr="00F4726C">
        <w:rPr>
          <w:rFonts w:ascii="Verdana" w:hAnsi="Verdana" w:cs="Arial"/>
        </w:rPr>
        <w:t>deals with chemical kinetics:</w:t>
      </w:r>
      <w:r>
        <w:rPr>
          <w:rFonts w:ascii="Verdana" w:hAnsi="Verdana" w:cs="Arial"/>
        </w:rPr>
        <w:t xml:space="preserve"> elementary reactions and c</w:t>
      </w:r>
      <w:r w:rsidRPr="00F4726C">
        <w:rPr>
          <w:rFonts w:ascii="Verdana" w:hAnsi="Verdana" w:cs="Arial"/>
        </w:rPr>
        <w:t xml:space="preserve">omposite reaction </w:t>
      </w:r>
      <w:r>
        <w:rPr>
          <w:rFonts w:ascii="Verdana" w:hAnsi="Verdana" w:cs="Arial"/>
        </w:rPr>
        <w:t xml:space="preserve">mechanism. </w:t>
      </w:r>
      <w:r w:rsidRPr="00F4726C">
        <w:rPr>
          <w:rFonts w:ascii="Verdana" w:hAnsi="Verdana" w:cs="Arial"/>
        </w:rPr>
        <w:t>In elementary reactions the course d</w:t>
      </w:r>
      <w:r>
        <w:rPr>
          <w:rFonts w:ascii="Verdana" w:hAnsi="Verdana" w:cs="Arial"/>
        </w:rPr>
        <w:t>eals with  rate, rate equations</w:t>
      </w:r>
      <w:r w:rsidRPr="00F4726C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Pr="00F4726C">
        <w:rPr>
          <w:rFonts w:ascii="Verdana" w:hAnsi="Verdana" w:cs="Arial"/>
        </w:rPr>
        <w:t xml:space="preserve">orders and rate constants .Then </w:t>
      </w:r>
      <w:r>
        <w:rPr>
          <w:rFonts w:ascii="Verdana" w:hAnsi="Verdana" w:cs="Arial"/>
        </w:rPr>
        <w:t xml:space="preserve">followed by </w:t>
      </w:r>
      <w:r w:rsidRPr="00F4726C">
        <w:rPr>
          <w:rFonts w:ascii="Verdana" w:hAnsi="Verdana" w:cs="Arial"/>
        </w:rPr>
        <w:t>analysis of the kinetic data</w:t>
      </w:r>
      <w:r>
        <w:rPr>
          <w:rFonts w:ascii="Verdana" w:hAnsi="Verdana" w:cs="Arial"/>
        </w:rPr>
        <w:t xml:space="preserve"> (</w:t>
      </w:r>
      <w:r w:rsidRPr="00F4726C">
        <w:rPr>
          <w:rFonts w:ascii="Verdana" w:hAnsi="Verdana" w:cs="Arial"/>
        </w:rPr>
        <w:t>integration and differ</w:t>
      </w:r>
      <w:r>
        <w:rPr>
          <w:rFonts w:ascii="Verdana" w:hAnsi="Verdana" w:cs="Arial"/>
        </w:rPr>
        <w:t>ential methods), molecularity</w:t>
      </w:r>
      <w:r w:rsidRPr="00F4726C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Arrhenius equation</w:t>
      </w:r>
      <w:r w:rsidRPr="00F4726C">
        <w:rPr>
          <w:rFonts w:ascii="Verdana" w:hAnsi="Verdana" w:cs="Arial"/>
        </w:rPr>
        <w:t xml:space="preserve"> and</w:t>
      </w:r>
      <w:r>
        <w:rPr>
          <w:rFonts w:ascii="Verdana" w:hAnsi="Verdana" w:cs="Arial"/>
        </w:rPr>
        <w:t xml:space="preserve"> rate theories (</w:t>
      </w:r>
      <w:r w:rsidRPr="00F4726C">
        <w:rPr>
          <w:rFonts w:ascii="Verdana" w:hAnsi="Verdana" w:cs="Arial"/>
        </w:rPr>
        <w:t>collision the</w:t>
      </w:r>
      <w:r>
        <w:rPr>
          <w:rFonts w:ascii="Verdana" w:hAnsi="Verdana" w:cs="Arial"/>
        </w:rPr>
        <w:t>ory and transition state theory</w:t>
      </w:r>
      <w:r w:rsidRPr="00F4726C">
        <w:rPr>
          <w:rFonts w:ascii="Verdana" w:hAnsi="Verdana" w:cs="Arial"/>
        </w:rPr>
        <w:t>).</w:t>
      </w:r>
      <w:r w:rsidRPr="00F4726C">
        <w:rPr>
          <w:rFonts w:ascii="Verdana" w:hAnsi="Verdana"/>
        </w:rPr>
        <w:t xml:space="preserve"> </w:t>
      </w:r>
      <w:r w:rsidRPr="00F4726C">
        <w:rPr>
          <w:rFonts w:ascii="Verdana" w:hAnsi="Verdana" w:cs="Arial"/>
        </w:rPr>
        <w:t>Then, this course will introduce the reactions in solution and the factors affecting the rate in solution (dielectric constant,</w:t>
      </w:r>
      <w:r w:rsidRPr="003D52FD">
        <w:rPr>
          <w:rFonts w:ascii="Verdana" w:hAnsi="Verdana" w:cs="Arial"/>
        </w:rPr>
        <w:t xml:space="preserve"> </w:t>
      </w:r>
      <w:r w:rsidRPr="00F4726C">
        <w:rPr>
          <w:rFonts w:ascii="Verdana" w:hAnsi="Verdana" w:cs="Arial"/>
        </w:rPr>
        <w:t xml:space="preserve">ionic strength, hydrostatic </w:t>
      </w:r>
      <w:r>
        <w:rPr>
          <w:rFonts w:ascii="Verdana" w:hAnsi="Verdana" w:cs="Arial"/>
        </w:rPr>
        <w:t>pressure and</w:t>
      </w:r>
      <w:r w:rsidRPr="00F4726C">
        <w:rPr>
          <w:rFonts w:ascii="Verdana" w:hAnsi="Verdana" w:cs="Arial"/>
        </w:rPr>
        <w:t xml:space="preserve"> dif</w:t>
      </w:r>
      <w:r>
        <w:rPr>
          <w:rFonts w:ascii="Verdana" w:hAnsi="Verdana" w:cs="Arial"/>
        </w:rPr>
        <w:t>fusion controlled reactions</w:t>
      </w:r>
      <w:r w:rsidRPr="00F4726C">
        <w:rPr>
          <w:rFonts w:ascii="Verdana" w:hAnsi="Verdana" w:cs="Arial"/>
        </w:rPr>
        <w:t>.</w:t>
      </w:r>
      <w:r w:rsidRPr="009814C6">
        <w:rPr>
          <w:rFonts w:ascii="Arial" w:hAnsi="Arial" w:cs="Arial"/>
          <w:szCs w:val="28"/>
        </w:rPr>
        <w:t xml:space="preserve"> </w:t>
      </w:r>
      <w:r>
        <w:rPr>
          <w:rFonts w:ascii="Verdana" w:hAnsi="Verdana" w:cs="Arial"/>
        </w:rPr>
        <w:t xml:space="preserve">   </w:t>
      </w:r>
    </w:p>
    <w:p w:rsidR="003D52FD" w:rsidRPr="00C00A1D" w:rsidRDefault="003D52FD" w:rsidP="00EC60E8">
      <w:pPr>
        <w:pStyle w:val="PlainText"/>
        <w:spacing w:before="40" w:after="40"/>
        <w:rPr>
          <w:rFonts w:ascii="Verdana" w:hAnsi="Verdana" w:cs="Arial"/>
          <w:rtl/>
        </w:rPr>
      </w:pPr>
      <w:r w:rsidRPr="00106F49">
        <w:rPr>
          <w:rFonts w:ascii="Verdana" w:hAnsi="Verdana" w:cs="Arial"/>
        </w:rPr>
        <w:t>The second part in chemical kinetics</w:t>
      </w:r>
      <w:r>
        <w:rPr>
          <w:rFonts w:ascii="Verdana" w:hAnsi="Verdana" w:cs="Arial"/>
        </w:rPr>
        <w:t xml:space="preserve"> </w:t>
      </w:r>
      <w:r w:rsidRPr="00106F49">
        <w:rPr>
          <w:rFonts w:ascii="Verdana" w:hAnsi="Verdana" w:cs="Arial"/>
        </w:rPr>
        <w:t>will concentrate on composite reaction mechanism</w:t>
      </w:r>
      <w:r>
        <w:rPr>
          <w:rFonts w:ascii="Verdana" w:hAnsi="Verdana" w:cs="Arial"/>
        </w:rPr>
        <w:t>s, types of composite reactions</w:t>
      </w:r>
      <w:r w:rsidRPr="00106F49">
        <w:rPr>
          <w:rFonts w:ascii="Verdana" w:hAnsi="Verdana" w:cs="Arial"/>
        </w:rPr>
        <w:t>, st</w:t>
      </w:r>
      <w:r>
        <w:rPr>
          <w:rFonts w:ascii="Verdana" w:hAnsi="Verdana" w:cs="Arial"/>
        </w:rPr>
        <w:t xml:space="preserve">eady state approximation </w:t>
      </w:r>
      <w:r w:rsidRPr="00106F49">
        <w:rPr>
          <w:rFonts w:ascii="Verdana" w:hAnsi="Verdana" w:cs="Arial"/>
        </w:rPr>
        <w:t>and chain reactions.</w:t>
      </w:r>
      <w:r w:rsidR="00EC60E8">
        <w:rPr>
          <w:rFonts w:ascii="Verdana" w:hAnsi="Verdana" w:cs="Arial"/>
        </w:rPr>
        <w:t xml:space="preserve"> </w:t>
      </w:r>
      <w:r w:rsidRPr="009814C6">
        <w:rPr>
          <w:rFonts w:ascii="Verdana" w:hAnsi="Verdana" w:cs="Arial"/>
        </w:rPr>
        <w:t xml:space="preserve">At the end, short introduction to surface chemistry will be </w:t>
      </w:r>
      <w:r>
        <w:rPr>
          <w:rFonts w:ascii="Verdana" w:hAnsi="Verdana" w:cs="Arial"/>
        </w:rPr>
        <w:t>given</w:t>
      </w:r>
      <w:r w:rsidR="00EC60E8">
        <w:rPr>
          <w:rFonts w:ascii="Verdana" w:hAnsi="Verdana" w:cs="Arial"/>
        </w:rPr>
        <w:t xml:space="preserve"> and concentrate on </w:t>
      </w:r>
      <w:r w:rsidR="00EC60E8" w:rsidRPr="002F59D4">
        <w:rPr>
          <w:rFonts w:ascii="Verdana" w:hAnsi="Verdana" w:cs="TimesNewRomanPSMT"/>
        </w:rPr>
        <w:t xml:space="preserve">solid surfaces, adsorption on surfaces – physisorption and </w:t>
      </w:r>
      <w:proofErr w:type="spellStart"/>
      <w:r w:rsidR="00EC60E8" w:rsidRPr="002F59D4">
        <w:rPr>
          <w:rFonts w:ascii="Verdana" w:hAnsi="Verdana" w:cs="TimesNewRomanPSMT"/>
        </w:rPr>
        <w:t>chemisorption</w:t>
      </w:r>
      <w:proofErr w:type="spellEnd"/>
      <w:r w:rsidR="00EC60E8" w:rsidRPr="002F59D4">
        <w:rPr>
          <w:rFonts w:ascii="Verdana" w:hAnsi="Verdana" w:cs="TimesNewRomanPSMT"/>
        </w:rPr>
        <w:t>.</w:t>
      </w:r>
      <w:r w:rsidR="00EC60E8">
        <w:rPr>
          <w:rFonts w:ascii="Verdana" w:hAnsi="Verdana" w:cs="TimesNewRomanPSMT"/>
        </w:rPr>
        <w:t xml:space="preserve"> </w:t>
      </w:r>
      <w:r w:rsidR="00EC60E8" w:rsidRPr="002F59D4">
        <w:rPr>
          <w:rFonts w:ascii="Verdana" w:hAnsi="Verdana" w:cs="TimesNewRomanPSMT"/>
        </w:rPr>
        <w:t>Adsorption isotherms – Langmuir, Freundlich, BET equation</w:t>
      </w:r>
      <w:proofErr w:type="gramStart"/>
      <w:r w:rsidR="00EC60E8" w:rsidRPr="002F59D4">
        <w:rPr>
          <w:rFonts w:ascii="Verdana" w:hAnsi="Verdana" w:cs="TimesNewRomanPSMT"/>
        </w:rPr>
        <w:t>.</w:t>
      </w:r>
      <w:r w:rsidRPr="009814C6">
        <w:rPr>
          <w:rFonts w:ascii="Verdana" w:hAnsi="Verdana" w:cs="Arial"/>
        </w:rPr>
        <w:t>.</w:t>
      </w:r>
      <w:proofErr w:type="gramEnd"/>
      <w:r w:rsidRPr="00C00A1D">
        <w:rPr>
          <w:sz w:val="22"/>
          <w:szCs w:val="22"/>
        </w:rPr>
        <w:t xml:space="preserve">                                                                             </w:t>
      </w:r>
    </w:p>
    <w:p w:rsidR="003D52FD" w:rsidRDefault="003D52FD" w:rsidP="003D52FD">
      <w:pPr>
        <w:autoSpaceDE w:val="0"/>
        <w:autoSpaceDN w:val="0"/>
        <w:bidi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683B1F" w:rsidRDefault="00683B1F" w:rsidP="00683B1F">
      <w:pPr>
        <w:pStyle w:val="ListParagraph"/>
        <w:bidi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683B1F" w:rsidRDefault="00683B1F" w:rsidP="00683B1F">
      <w:pPr>
        <w:pStyle w:val="ListParagraph"/>
        <w:bidi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683B1F" w:rsidRDefault="00683B1F" w:rsidP="00683B1F">
      <w:pPr>
        <w:pStyle w:val="ListParagraph"/>
        <w:bidi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683B1F" w:rsidRDefault="00683B1F" w:rsidP="00683B1F">
      <w:pPr>
        <w:pStyle w:val="ListParagraph"/>
        <w:bidi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683B1F" w:rsidRDefault="00683B1F" w:rsidP="00683B1F">
      <w:pPr>
        <w:pStyle w:val="ListParagraph"/>
        <w:bidi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683B1F" w:rsidRDefault="00683B1F" w:rsidP="00683B1F">
      <w:pPr>
        <w:pStyle w:val="ListParagraph"/>
        <w:bidi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683B1F" w:rsidRDefault="00683B1F" w:rsidP="00683B1F">
      <w:pPr>
        <w:pStyle w:val="ListParagraph"/>
        <w:bidi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683B1F" w:rsidRDefault="00683B1F" w:rsidP="00683B1F">
      <w:pPr>
        <w:pStyle w:val="ListParagraph"/>
        <w:bidi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491C64" w:rsidRDefault="00491C64" w:rsidP="00491C64">
      <w:pPr>
        <w:bidi w:val="0"/>
        <w:spacing w:after="0" w:line="240" w:lineRule="auto"/>
        <w:rPr>
          <w:rFonts w:ascii="Verdana" w:hAnsi="Verdana" w:cs="Times New Roman"/>
          <w:b/>
          <w:bCs/>
        </w:rPr>
      </w:pPr>
    </w:p>
    <w:p w:rsidR="00665CE7" w:rsidRPr="00491C64" w:rsidRDefault="00683B1F" w:rsidP="00491C64">
      <w:pPr>
        <w:bidi w:val="0"/>
        <w:spacing w:after="0" w:line="240" w:lineRule="auto"/>
        <w:jc w:val="center"/>
        <w:rPr>
          <w:rFonts w:ascii="Verdana" w:eastAsia="Times New Roman" w:hAnsi="Verdana" w:cs="Times New Roman"/>
        </w:rPr>
      </w:pPr>
      <w:r w:rsidRPr="00491C64">
        <w:rPr>
          <w:rFonts w:ascii="Verdana" w:hAnsi="Verdana" w:cs="Times New Roman"/>
          <w:b/>
          <w:bCs/>
        </w:rPr>
        <w:lastRenderedPageBreak/>
        <w:t>Course Plan</w:t>
      </w:r>
    </w:p>
    <w:p w:rsidR="00665CE7" w:rsidRDefault="00665CE7" w:rsidP="00665CE7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Verdana" w:eastAsia="Times New Roman" w:hAnsi="Verdana" w:cs="Times New Roman"/>
          <w:spacing w:val="5"/>
          <w:kern w:val="28"/>
          <w:sz w:val="20"/>
          <w:szCs w:val="20"/>
        </w:rPr>
      </w:pPr>
      <w:r w:rsidRPr="006C2557">
        <w:rPr>
          <w:rFonts w:ascii="Verdana" w:eastAsia="Times New Roman" w:hAnsi="Verdana" w:cs="Times New Roman"/>
          <w:spacing w:val="5"/>
          <w:kern w:val="28"/>
          <w:sz w:val="20"/>
          <w:szCs w:val="20"/>
        </w:rPr>
        <w:t xml:space="preserve">                                                                             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4108"/>
        <w:gridCol w:w="4711"/>
        <w:gridCol w:w="1081"/>
      </w:tblGrid>
      <w:tr w:rsidR="00665CE7" w:rsidRPr="00E62021" w:rsidTr="006F3BE9">
        <w:trPr>
          <w:trHeight w:val="308"/>
          <w:jc w:val="center"/>
        </w:trPr>
        <w:tc>
          <w:tcPr>
            <w:tcW w:w="4108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5CE7" w:rsidRPr="00562F05" w:rsidRDefault="00665CE7" w:rsidP="00387133">
            <w:pPr>
              <w:spacing w:after="0" w:line="240" w:lineRule="auto"/>
              <w:ind w:left="161"/>
              <w:jc w:val="center"/>
              <w:rPr>
                <w:rFonts w:ascii="Verdana" w:hAnsi="Verdana" w:cs="Times New Roman"/>
                <w:b/>
                <w:bCs/>
                <w:rtl/>
              </w:rPr>
            </w:pPr>
            <w:r w:rsidRPr="00562F05">
              <w:rPr>
                <w:rFonts w:ascii="Verdana" w:hAnsi="Verdana" w:cs="Times New Roman"/>
                <w:b/>
                <w:bCs/>
              </w:rPr>
              <w:t>Learning Resources</w:t>
            </w:r>
            <w:r w:rsidRPr="00562F05">
              <w:rPr>
                <w:rFonts w:ascii="Verdana" w:hAnsi="Verdana" w:cs="Times New Roman"/>
              </w:rPr>
              <w:t xml:space="preserve">  </w:t>
            </w:r>
          </w:p>
        </w:tc>
        <w:tc>
          <w:tcPr>
            <w:tcW w:w="4711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665CE7" w:rsidRPr="00562F05" w:rsidRDefault="00665CE7" w:rsidP="0038713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rtl/>
                <w:lang w:bidi="ar-EG"/>
              </w:rPr>
            </w:pPr>
            <w:r w:rsidRPr="00562F05">
              <w:rPr>
                <w:rFonts w:ascii="Verdana" w:hAnsi="Verdana" w:cs="Times New Roman"/>
                <w:b/>
                <w:bCs/>
                <w:lang w:bidi="ar-EG"/>
              </w:rPr>
              <w:t>Topics to be Covered</w:t>
            </w:r>
          </w:p>
        </w:tc>
        <w:tc>
          <w:tcPr>
            <w:tcW w:w="108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665CE7" w:rsidRPr="00C815C8" w:rsidRDefault="00665CE7" w:rsidP="00387133">
            <w:pPr>
              <w:spacing w:after="0" w:line="240" w:lineRule="auto"/>
              <w:ind w:left="13" w:right="-167"/>
              <w:rPr>
                <w:rFonts w:ascii="Verdana" w:hAnsi="Verdana" w:cs="Times New Roman"/>
                <w:b/>
                <w:bCs/>
                <w:sz w:val="20"/>
                <w:szCs w:val="20"/>
                <w:rtl/>
              </w:rPr>
            </w:pPr>
            <w:r w:rsidRPr="00C815C8">
              <w:rPr>
                <w:rFonts w:ascii="Verdana" w:hAnsi="Verdana" w:cs="Times New Roman"/>
                <w:b/>
                <w:bCs/>
                <w:sz w:val="20"/>
                <w:szCs w:val="20"/>
              </w:rPr>
              <w:t>Week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C815C8">
              <w:rPr>
                <w:rFonts w:ascii="Verdana" w:hAnsi="Verdana" w:cs="Times New Roman"/>
                <w:b/>
                <w:bCs/>
                <w:sz w:val="20"/>
                <w:szCs w:val="20"/>
              </w:rPr>
              <w:t>No.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5CE7" w:rsidRPr="00392F98" w:rsidRDefault="00665CE7" w:rsidP="00387133">
            <w:pPr>
              <w:spacing w:after="0" w:line="240" w:lineRule="auto"/>
              <w:ind w:left="360" w:right="-118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2F98">
              <w:rPr>
                <w:rFonts w:ascii="Verdana" w:hAnsi="Verdana"/>
                <w:color w:val="000000"/>
              </w:rPr>
              <w:t xml:space="preserve">P. W. Atkins, and J. De Paula, </w:t>
            </w:r>
            <w:r w:rsidRPr="00392F98">
              <w:rPr>
                <w:rFonts w:ascii="Verdana" w:hAnsi="Verdana"/>
                <w:i/>
                <w:iCs/>
                <w:color w:val="000000"/>
              </w:rPr>
              <w:t>Physical Chemistry, 8th edition</w:t>
            </w:r>
            <w:r w:rsidRPr="00392F98">
              <w:rPr>
                <w:rFonts w:ascii="Verdana" w:hAnsi="Verdana"/>
                <w:color w:val="000000"/>
              </w:rPr>
              <w:t xml:space="preserve">, W.H. Freeman, New York, 2006 </w:t>
            </w:r>
            <w:r>
              <w:rPr>
                <w:rFonts w:ascii="Verdana" w:hAnsi="Verdana"/>
                <w:color w:val="000000"/>
              </w:rPr>
              <w:t xml:space="preserve">                                           </w:t>
            </w:r>
            <w:r w:rsidRPr="00392F98">
              <w:rPr>
                <w:rFonts w:ascii="Verdana" w:hAnsi="Verdana"/>
                <w:color w:val="000000"/>
              </w:rPr>
              <w:t>ISBN 0-7167-8759-8</w:t>
            </w:r>
            <w:r w:rsidRPr="00392F9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392F98">
              <w:rPr>
                <w:rStyle w:val="Emphasis"/>
                <w:i w:val="0"/>
                <w:iCs w:val="0"/>
              </w:rPr>
              <w:t xml:space="preserve"> </w:t>
            </w:r>
            <w:r w:rsidRPr="00392F98">
              <w:rPr>
                <w:rStyle w:val="Emphasis"/>
                <w:rFonts w:ascii="Verdana" w:hAnsi="Verdana"/>
                <w:i w:val="0"/>
                <w:iCs w:val="0"/>
              </w:rPr>
              <w:t xml:space="preserve">  </w:t>
            </w:r>
          </w:p>
        </w:tc>
        <w:tc>
          <w:tcPr>
            <w:tcW w:w="4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541C0" w:rsidRPr="009541C0" w:rsidRDefault="009541C0" w:rsidP="00491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bidi="ar-JO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bidi="ar-JO"/>
              </w:rPr>
              <w:t xml:space="preserve">First day: </w:t>
            </w:r>
            <w:r>
              <w:rPr>
                <w:rFonts w:ascii="Verdana" w:hAnsi="Verdana"/>
                <w:color w:val="000000"/>
                <w:sz w:val="20"/>
                <w:szCs w:val="20"/>
                <w:lang w:bidi="ar-JO"/>
              </w:rPr>
              <w:t>distribution of course plan and theoretical introduction to the course.</w:t>
            </w:r>
          </w:p>
          <w:p w:rsidR="009541C0" w:rsidRPr="00C815C8" w:rsidRDefault="00665CE7" w:rsidP="00491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</w:pPr>
            <w:r w:rsidRPr="009541C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Chapter 07.</w:t>
            </w:r>
            <w:r w:rsidR="009541C0"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Equilibrium electrochemistry</w:t>
            </w:r>
          </w:p>
          <w:p w:rsidR="00665CE7" w:rsidRPr="009541C0" w:rsidRDefault="00683B1F" w:rsidP="00491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83B1F">
              <w:rPr>
                <w:rFonts w:ascii="Verdana" w:hAnsi="Verdana" w:cs="Minion-Bold"/>
                <w:color w:val="231F20"/>
                <w:sz w:val="20"/>
                <w:szCs w:val="20"/>
              </w:rPr>
              <w:t xml:space="preserve">Review of </w:t>
            </w:r>
            <w:r w:rsidR="009541C0">
              <w:rPr>
                <w:rFonts w:ascii="Verdana" w:hAnsi="Verdana" w:cs="Minion-Bold"/>
                <w:color w:val="231F20"/>
                <w:sz w:val="20"/>
                <w:szCs w:val="20"/>
              </w:rPr>
              <w:t xml:space="preserve">thermodynamic function of ions in solution, </w:t>
            </w:r>
            <w:r w:rsidRPr="00683B1F">
              <w:rPr>
                <w:rFonts w:ascii="Verdana" w:hAnsi="Verdana" w:cs="Minion-Bold"/>
                <w:color w:val="231F20"/>
                <w:sz w:val="20"/>
                <w:szCs w:val="20"/>
              </w:rPr>
              <w:t>Debye–Hückel limiting law</w:t>
            </w:r>
            <w:r>
              <w:rPr>
                <w:rFonts w:ascii="Verdana" w:hAnsi="Verdana" w:cs="Minion-Bold"/>
                <w:color w:val="231F20"/>
                <w:sz w:val="20"/>
                <w:szCs w:val="20"/>
              </w:rPr>
              <w:t xml:space="preserve"> and</w:t>
            </w:r>
          </w:p>
          <w:p w:rsidR="009541C0" w:rsidRPr="00C815C8" w:rsidRDefault="00683B1F" w:rsidP="00491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proofErr w:type="gramStart"/>
            <w:r w:rsidRPr="009541C0">
              <w:rPr>
                <w:rFonts w:ascii="Verdana" w:hAnsi="Verdana" w:cs="HelveticaNeue-Bold"/>
                <w:sz w:val="20"/>
                <w:szCs w:val="20"/>
              </w:rPr>
              <w:t>extended</w:t>
            </w:r>
            <w:proofErr w:type="gramEnd"/>
            <w:r w:rsidRPr="009541C0">
              <w:rPr>
                <w:rFonts w:ascii="Verdana" w:hAnsi="Verdana" w:cs="HelveticaNeue-Bold"/>
                <w:sz w:val="20"/>
                <w:szCs w:val="20"/>
              </w:rPr>
              <w:t xml:space="preserve"> Debye–Hückel law</w:t>
            </w:r>
            <w:r w:rsidR="009541C0">
              <w:rPr>
                <w:rFonts w:ascii="Verdana" w:hAnsi="Verdana" w:cs="HelveticaNeue-Bold"/>
                <w:sz w:val="20"/>
                <w:szCs w:val="20"/>
              </w:rPr>
              <w:t>.</w:t>
            </w:r>
            <w:r w:rsidR="009541C0"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41C0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="00491C64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9541C0"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7.5 </w:t>
            </w:r>
            <w:r w:rsidR="009541C0"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Half-reactions and electrodes</w:t>
            </w:r>
          </w:p>
          <w:p w:rsidR="00665CE7" w:rsidRPr="00E96463" w:rsidRDefault="009541C0" w:rsidP="00491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HelveticaNeue-Bold"/>
                <w:b/>
                <w:bCs/>
                <w:color w:val="000000"/>
                <w:rtl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7.6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Varieties of cells</w:t>
            </w:r>
          </w:p>
        </w:tc>
        <w:tc>
          <w:tcPr>
            <w:tcW w:w="1081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65CE7" w:rsidRPr="00C815C8" w:rsidRDefault="00665CE7" w:rsidP="00387133">
            <w:pPr>
              <w:spacing w:after="0" w:line="240" w:lineRule="auto"/>
              <w:ind w:left="223" w:right="-28"/>
              <w:rPr>
                <w:rFonts w:ascii="Verdana" w:hAnsi="Verdana" w:cs="Simplified Arabic"/>
                <w:b/>
                <w:bCs/>
                <w:sz w:val="20"/>
                <w:szCs w:val="20"/>
                <w:rtl/>
              </w:rPr>
            </w:pPr>
            <w:r w:rsidRPr="00C815C8">
              <w:rPr>
                <w:rFonts w:ascii="Verdana" w:hAnsi="Verdana" w:cs="Simplified Arabic"/>
                <w:b/>
                <w:bCs/>
                <w:sz w:val="20"/>
                <w:szCs w:val="20"/>
              </w:rPr>
              <w:t>1.</w:t>
            </w:r>
          </w:p>
        </w:tc>
      </w:tr>
      <w:tr w:rsidR="00665CE7" w:rsidRPr="00E62021" w:rsidTr="006F3BE9">
        <w:trPr>
          <w:trHeight w:val="1874"/>
          <w:jc w:val="center"/>
        </w:trPr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9541C0" w:rsidRPr="00C815C8" w:rsidRDefault="009541C0" w:rsidP="00491C64">
            <w:pPr>
              <w:spacing w:after="0" w:line="240" w:lineRule="auto"/>
              <w:ind w:right="-180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</w:rPr>
            </w:pPr>
            <w:r w:rsidRPr="00C815C8">
              <w:rPr>
                <w:rFonts w:ascii="Verdana" w:hAnsi="Verdana" w:cs="Simplified Arabic"/>
                <w:b/>
                <w:bCs/>
                <w:sz w:val="20"/>
                <w:szCs w:val="20"/>
              </w:rPr>
              <w:t>Chapter 07 (continue)</w:t>
            </w:r>
          </w:p>
          <w:p w:rsidR="00E91818" w:rsidRPr="009541C0" w:rsidRDefault="00E91818" w:rsidP="00491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HelveticaNeue-Bold"/>
                <w:sz w:val="20"/>
                <w:szCs w:val="20"/>
                <w:rtl/>
                <w:lang w:bidi="ar-JO"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7.7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The electromotive force</w:t>
            </w:r>
          </w:p>
          <w:p w:rsidR="009541C0" w:rsidRPr="00C815C8" w:rsidRDefault="009541C0" w:rsidP="00491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7.8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Standard potentials</w:t>
            </w:r>
          </w:p>
          <w:p w:rsidR="00665CE7" w:rsidRPr="00E91818" w:rsidRDefault="00665CE7" w:rsidP="00E9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lang w:bidi="ar-J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C815C8" w:rsidRDefault="009541C0" w:rsidP="00E91818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  <w:t>2</w:t>
            </w:r>
          </w:p>
        </w:tc>
      </w:tr>
      <w:tr w:rsidR="00665CE7" w:rsidRPr="00E62021" w:rsidTr="006F3BE9">
        <w:trPr>
          <w:trHeight w:val="2042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E91818" w:rsidRDefault="00E91818" w:rsidP="00E91818">
            <w:pPr>
              <w:spacing w:after="0" w:line="240" w:lineRule="auto"/>
              <w:ind w:right="-180"/>
              <w:jc w:val="right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</w:p>
          <w:p w:rsidR="00E91818" w:rsidRPr="00C815C8" w:rsidRDefault="00E91818" w:rsidP="00E918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7.9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Applications of standard</w:t>
            </w:r>
          </w:p>
          <w:p w:rsidR="00E91818" w:rsidRPr="00C815C8" w:rsidRDefault="00E91818" w:rsidP="00E918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    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potentials</w:t>
            </w:r>
          </w:p>
          <w:p w:rsidR="00E91818" w:rsidRDefault="00E91818" w:rsidP="009541C0">
            <w:pPr>
              <w:spacing w:after="0" w:line="240" w:lineRule="auto"/>
              <w:ind w:right="-180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</w:p>
          <w:p w:rsidR="009541C0" w:rsidRPr="00C815C8" w:rsidRDefault="009541C0" w:rsidP="009541C0">
            <w:pPr>
              <w:spacing w:after="0" w:line="240" w:lineRule="auto"/>
              <w:ind w:right="-180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</w:rPr>
            </w:pPr>
            <w:r w:rsidRPr="00C815C8">
              <w:rPr>
                <w:rFonts w:ascii="Verdana" w:hAnsi="Verdana" w:cs="Simplified Arabic"/>
                <w:b/>
                <w:bCs/>
                <w:sz w:val="20"/>
                <w:szCs w:val="20"/>
              </w:rPr>
              <w:t>Chapter 21 Molecules in Motion</w:t>
            </w:r>
          </w:p>
          <w:p w:rsidR="009541C0" w:rsidRPr="00C815C8" w:rsidRDefault="009541C0" w:rsidP="00954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>Molecular motion in liquids:</w:t>
            </w:r>
          </w:p>
          <w:p w:rsidR="009541C0" w:rsidRPr="00C815C8" w:rsidRDefault="009541C0" w:rsidP="00954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21.5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Experimental results</w:t>
            </w:r>
          </w:p>
          <w:p w:rsidR="009541C0" w:rsidRDefault="009541C0" w:rsidP="00954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21.6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The conductivities of</w:t>
            </w: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electrolyte </w:t>
            </w: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 </w:t>
            </w:r>
          </w:p>
          <w:p w:rsidR="00665CE7" w:rsidRPr="008716F9" w:rsidRDefault="009541C0" w:rsidP="00871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 w:hint="cs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      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solutions</w:t>
            </w: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C815C8" w:rsidRDefault="009541C0" w:rsidP="001B77C0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</w:rPr>
              <w:t>3</w:t>
            </w:r>
            <w:r w:rsidR="00665CE7">
              <w:rPr>
                <w:rFonts w:ascii="Verdana" w:hAnsi="Verdana" w:cs="Simplified Arabic"/>
                <w:b/>
                <w:bCs/>
                <w:sz w:val="20"/>
                <w:szCs w:val="20"/>
              </w:rPr>
              <w:t>.</w:t>
            </w:r>
          </w:p>
        </w:tc>
      </w:tr>
      <w:tr w:rsidR="00665CE7" w:rsidRPr="00E62021" w:rsidTr="006F3BE9">
        <w:trPr>
          <w:trHeight w:val="1520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1B77C0" w:rsidRPr="00C815C8" w:rsidRDefault="001B77C0" w:rsidP="001B77C0">
            <w:pPr>
              <w:spacing w:after="0" w:line="240" w:lineRule="auto"/>
              <w:ind w:right="-180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</w:rPr>
            </w:pPr>
            <w:r w:rsidRPr="00C815C8">
              <w:rPr>
                <w:rFonts w:ascii="Verdana" w:hAnsi="Verdana" w:cs="Simplified Arabic"/>
                <w:b/>
                <w:bCs/>
                <w:sz w:val="20"/>
                <w:szCs w:val="20"/>
              </w:rPr>
              <w:t>Chapter 21 (continue)</w:t>
            </w:r>
          </w:p>
          <w:p w:rsidR="001B77C0" w:rsidRPr="00C815C8" w:rsidRDefault="001B77C0" w:rsidP="001B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21.7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The mobilities of ions</w:t>
            </w:r>
          </w:p>
          <w:p w:rsidR="001B77C0" w:rsidRPr="00C815C8" w:rsidRDefault="001B77C0" w:rsidP="001B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C815C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21.8 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Conductivities and ion–ion</w:t>
            </w:r>
          </w:p>
          <w:p w:rsidR="00665CE7" w:rsidRPr="0027077E" w:rsidRDefault="001B77C0" w:rsidP="001B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rtl/>
                <w:lang w:bidi="ar-JO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       i</w:t>
            </w:r>
            <w:r w:rsidRPr="00C815C8">
              <w:rPr>
                <w:rFonts w:ascii="Verdana" w:hAnsi="Verdana" w:cs="Minion-Regular"/>
                <w:color w:val="000000"/>
                <w:sz w:val="20"/>
                <w:szCs w:val="20"/>
              </w:rPr>
              <w:t>nteractions</w:t>
            </w: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C815C8" w:rsidRDefault="00665CE7" w:rsidP="001B77C0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</w:rPr>
              <w:t>4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1B77C0" w:rsidRPr="00B91FF8" w:rsidRDefault="001B77C0" w:rsidP="001B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</w:rPr>
            </w:pPr>
            <w:r w:rsidRPr="00B91FF8">
              <w:rPr>
                <w:rFonts w:ascii="Verdana" w:hAnsi="Verdana" w:cs="Simplified Arabic"/>
                <w:b/>
                <w:bCs/>
                <w:sz w:val="20"/>
                <w:szCs w:val="20"/>
              </w:rPr>
              <w:t>Chapter 21 (continue)</w:t>
            </w:r>
          </w:p>
          <w:p w:rsidR="001B77C0" w:rsidRPr="00B91FF8" w:rsidRDefault="001B77C0" w:rsidP="001B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>Diffusion</w:t>
            </w:r>
          </w:p>
          <w:p w:rsidR="001B77C0" w:rsidRPr="00B91FF8" w:rsidRDefault="001B77C0" w:rsidP="001B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B91FF8">
              <w:rPr>
                <w:rFonts w:ascii="Verdana" w:hAnsi="Verdana" w:cs="HelveticaNeue-Bold"/>
                <w:color w:val="000000"/>
                <w:sz w:val="20"/>
                <w:szCs w:val="20"/>
              </w:rPr>
              <w:t xml:space="preserve">21.9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The thermodynamic view</w:t>
            </w:r>
          </w:p>
          <w:p w:rsidR="00665CE7" w:rsidRPr="001B77C0" w:rsidRDefault="001B77C0" w:rsidP="001B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  <w:rtl/>
                <w:lang w:bidi="ar-JO"/>
              </w:rPr>
            </w:pPr>
            <w:r w:rsidRPr="00B91FF8">
              <w:rPr>
                <w:rFonts w:ascii="Verdana" w:hAnsi="Verdana" w:cs="HelveticaNeue-Bold"/>
                <w:color w:val="000000"/>
                <w:sz w:val="20"/>
                <w:szCs w:val="20"/>
              </w:rPr>
              <w:t xml:space="preserve">21.10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The diffusion equation</w:t>
            </w:r>
            <w:r w:rsidRPr="00B91FF8">
              <w:rPr>
                <w:rFonts w:ascii="Verdana" w:hAnsi="Verdana" w:cs="Minion-Regular"/>
                <w:sz w:val="20"/>
                <w:szCs w:val="20"/>
              </w:rPr>
              <w:t xml:space="preserve"> </w:t>
            </w: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1B77C0" w:rsidRDefault="001B77C0" w:rsidP="001B77C0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  <w:t>5</w:t>
            </w:r>
            <w:r w:rsidR="006F3BE9"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  <w:t>.</w:t>
            </w:r>
          </w:p>
        </w:tc>
      </w:tr>
      <w:tr w:rsidR="00665CE7" w:rsidRPr="0075629B" w:rsidTr="006F3BE9">
        <w:trPr>
          <w:trHeight w:val="308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665CE7" w:rsidRDefault="00665CE7" w:rsidP="0038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0000"/>
                <w:w w:val="97"/>
                <w:rtl/>
                <w:lang w:bidi="ar-JO"/>
              </w:rPr>
            </w:pPr>
          </w:p>
          <w:p w:rsidR="00665CE7" w:rsidRDefault="006F3BE9" w:rsidP="006F3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w w:val="97"/>
                <w:sz w:val="20"/>
                <w:szCs w:val="20"/>
              </w:rPr>
              <w:t>First Exam</w:t>
            </w:r>
          </w:p>
          <w:p w:rsidR="006F3BE9" w:rsidRDefault="006F3BE9" w:rsidP="006F3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</w:rPr>
            </w:pPr>
            <w:r w:rsidRPr="00B91FF8">
              <w:rPr>
                <w:rFonts w:ascii="Verdana" w:hAnsi="Verdana" w:cs="Simplified Arabic"/>
                <w:b/>
                <w:bCs/>
                <w:sz w:val="20"/>
                <w:szCs w:val="20"/>
              </w:rPr>
              <w:t>Chapter 22 The Rates of</w:t>
            </w:r>
            <w:r>
              <w:rPr>
                <w:rFonts w:ascii="Verdana" w:hAnsi="Verdana" w:cs="Simplified Arabic"/>
                <w:b/>
                <w:bCs/>
                <w:sz w:val="20"/>
                <w:szCs w:val="20"/>
              </w:rPr>
              <w:t xml:space="preserve"> Chemical Reactions</w:t>
            </w:r>
          </w:p>
          <w:p w:rsidR="006F3BE9" w:rsidRPr="00B91FF8" w:rsidRDefault="006F3BE9" w:rsidP="006F3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>Empirical chemical kinetics:</w:t>
            </w:r>
          </w:p>
          <w:p w:rsidR="006F3BE9" w:rsidRPr="00442BC2" w:rsidRDefault="006F3BE9" w:rsidP="00442B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 w:hint="cs"/>
                <w:color w:val="000000"/>
                <w:sz w:val="20"/>
                <w:szCs w:val="20"/>
                <w:rtl/>
                <w:lang w:bidi="ar-JO"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22.1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Experimental techniques</w:t>
            </w:r>
          </w:p>
          <w:p w:rsidR="00665CE7" w:rsidRPr="00B91FF8" w:rsidRDefault="00665CE7" w:rsidP="0038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inion-Regular"/>
                <w:sz w:val="20"/>
                <w:szCs w:val="20"/>
                <w:rtl/>
              </w:rPr>
            </w:pP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B91FF8" w:rsidRDefault="006F3BE9" w:rsidP="006F3BE9">
            <w:pPr>
              <w:spacing w:after="0" w:line="240" w:lineRule="auto"/>
              <w:ind w:left="223"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  <w:t xml:space="preserve">   6.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6F3BE9" w:rsidRPr="00B91FF8" w:rsidRDefault="00665CE7" w:rsidP="006F3BE9">
            <w:pPr>
              <w:spacing w:after="0" w:line="240" w:lineRule="auto"/>
              <w:ind w:right="-180"/>
              <w:jc w:val="center"/>
              <w:rPr>
                <w:rFonts w:ascii="Verdana" w:hAnsi="Verdana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22.2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The rates of reactions</w:t>
            </w:r>
            <w:r w:rsidR="006F3BE9">
              <w:rPr>
                <w:rFonts w:ascii="Verdana" w:hAnsi="Verdana" w:cs="Minion-Regular"/>
                <w:color w:val="000000"/>
                <w:sz w:val="20"/>
                <w:szCs w:val="20"/>
              </w:rPr>
              <w:t>, rate laws and order of reaction</w:t>
            </w:r>
          </w:p>
          <w:p w:rsidR="00665CE7" w:rsidRPr="00B91FF8" w:rsidRDefault="00665CE7" w:rsidP="006F3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  <w:lang w:bidi="ar-JO"/>
              </w:rPr>
            </w:pPr>
          </w:p>
          <w:p w:rsidR="00665CE7" w:rsidRPr="007F13FD" w:rsidRDefault="00665CE7" w:rsidP="006F3BE9">
            <w:pPr>
              <w:spacing w:after="0" w:line="240" w:lineRule="auto"/>
              <w:ind w:right="-180"/>
              <w:jc w:val="right"/>
              <w:rPr>
                <w:rFonts w:ascii="Verdana" w:hAnsi="Verdana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B91FF8" w:rsidRDefault="006F3BE9" w:rsidP="006F3BE9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</w:rPr>
              <w:t>7</w:t>
            </w:r>
            <w:r w:rsidR="00665CE7" w:rsidRPr="00B91FF8">
              <w:rPr>
                <w:rFonts w:ascii="Verdana" w:hAnsi="Verdana" w:cs="Simplified Arabic"/>
                <w:b/>
                <w:bCs/>
                <w:sz w:val="20"/>
                <w:szCs w:val="20"/>
              </w:rPr>
              <w:t>.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665CE7" w:rsidRPr="00B91FF8" w:rsidRDefault="00665CE7" w:rsidP="006F3BE9">
            <w:pPr>
              <w:spacing w:after="0" w:line="240" w:lineRule="auto"/>
              <w:ind w:right="-180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</w:rPr>
            </w:pPr>
            <w:r w:rsidRPr="00B91FF8">
              <w:rPr>
                <w:rFonts w:ascii="Verdana" w:hAnsi="Verdana" w:cs="Simplified Arabic"/>
                <w:b/>
                <w:bCs/>
                <w:sz w:val="20"/>
                <w:szCs w:val="20"/>
              </w:rPr>
              <w:t>Chapter 22 (continue)</w:t>
            </w:r>
          </w:p>
          <w:p w:rsidR="00665CE7" w:rsidRDefault="00665CE7" w:rsidP="006F3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  <w:rtl/>
                <w:lang w:bidi="ar-JO"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22.5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The temperature dependence</w:t>
            </w: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of</w:t>
            </w:r>
          </w:p>
          <w:p w:rsidR="00665CE7" w:rsidRPr="00B91FF8" w:rsidRDefault="006F3BE9" w:rsidP="006F3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    </w:t>
            </w:r>
            <w:r w:rsidR="00665CE7"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reaction rates</w:t>
            </w:r>
          </w:p>
          <w:p w:rsidR="00665CE7" w:rsidRPr="00B91FF8" w:rsidRDefault="00665CE7" w:rsidP="00314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>Accounting for the rate laws:</w:t>
            </w:r>
          </w:p>
          <w:p w:rsidR="00665CE7" w:rsidRPr="00B91FF8" w:rsidRDefault="003145F7" w:rsidP="00314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lastRenderedPageBreak/>
              <w:t xml:space="preserve">    </w:t>
            </w:r>
            <w:r w:rsidR="00665CE7"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22.6 </w:t>
            </w:r>
            <w:r w:rsidR="00665CE7"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Elementary reactions</w:t>
            </w:r>
          </w:p>
          <w:p w:rsidR="00665CE7" w:rsidRPr="00B91FF8" w:rsidRDefault="00665CE7" w:rsidP="00314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  <w:rtl/>
                <w:lang w:bidi="ar-JO"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22.7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Consecutive elementary</w:t>
            </w: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</w:t>
            </w:r>
            <w:r w:rsidR="003145F7">
              <w:rPr>
                <w:rFonts w:ascii="Verdana" w:hAnsi="Verdana" w:cs="Minion-Regular"/>
                <w:color w:val="000000"/>
                <w:sz w:val="20"/>
                <w:szCs w:val="20"/>
              </w:rPr>
              <w:t>r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eactions</w:t>
            </w:r>
            <w:r w:rsidR="003145F7">
              <w:rPr>
                <w:rFonts w:ascii="Verdana" w:hAnsi="Verdana" w:cs="Minion-Regular"/>
                <w:color w:val="000000"/>
                <w:sz w:val="20"/>
                <w:szCs w:val="20"/>
              </w:rPr>
              <w:t>, parallel and opposing reactions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  <w:p w:rsidR="00665CE7" w:rsidRPr="007F13FD" w:rsidRDefault="00665CE7" w:rsidP="0038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inion-Regular"/>
                <w:rtl/>
              </w:rPr>
            </w:pP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B91FF8" w:rsidRDefault="006F3BE9" w:rsidP="006F3BE9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</w:rPr>
              <w:lastRenderedPageBreak/>
              <w:t>8</w:t>
            </w:r>
            <w:r w:rsidR="00665CE7" w:rsidRPr="00B91FF8">
              <w:rPr>
                <w:rFonts w:ascii="Verdana" w:hAnsi="Verdana" w:cs="Simplified Arabic"/>
                <w:b/>
                <w:bCs/>
                <w:sz w:val="20"/>
                <w:szCs w:val="20"/>
              </w:rPr>
              <w:t>.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3145F7" w:rsidRDefault="003145F7" w:rsidP="00314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bCs/>
                <w:color w:val="000000"/>
                <w:sz w:val="20"/>
                <w:szCs w:val="20"/>
                <w:lang w:bidi="ar-JO"/>
              </w:rPr>
            </w:pPr>
            <w:r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22.8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Unimolecular reactions</w:t>
            </w:r>
          </w:p>
          <w:p w:rsidR="00665CE7" w:rsidRDefault="00665CE7" w:rsidP="00314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91FF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Chapter 23 The Kinetics of Complex Reactions</w:t>
            </w:r>
          </w:p>
          <w:p w:rsidR="00665CE7" w:rsidRPr="00B91FF8" w:rsidRDefault="003145F7" w:rsidP="00314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665CE7"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>Chain reactions</w:t>
            </w:r>
          </w:p>
          <w:p w:rsidR="00665CE7" w:rsidRPr="0073313A" w:rsidRDefault="00665CE7" w:rsidP="0073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  <w:rtl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23.1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The rate laws of chain</w:t>
            </w:r>
            <w:r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reactions</w:t>
            </w: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B91FF8" w:rsidRDefault="003145F7" w:rsidP="003145F7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  <w:t>9.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73313A" w:rsidRDefault="0073313A" w:rsidP="0073313A">
            <w:pPr>
              <w:spacing w:after="0" w:line="240" w:lineRule="auto"/>
              <w:ind w:right="-180"/>
              <w:jc w:val="center"/>
              <w:rPr>
                <w:rFonts w:ascii="Verdana" w:hAnsi="Verdana" w:cs="Andalus"/>
                <w:b/>
                <w:bCs/>
                <w:color w:val="000000"/>
                <w:w w:val="96"/>
                <w:sz w:val="20"/>
                <w:szCs w:val="20"/>
              </w:rPr>
            </w:pPr>
          </w:p>
          <w:p w:rsidR="0073313A" w:rsidRDefault="0073313A" w:rsidP="0073313A">
            <w:pPr>
              <w:spacing w:after="0" w:line="240" w:lineRule="auto"/>
              <w:ind w:right="-180"/>
              <w:jc w:val="center"/>
              <w:rPr>
                <w:rFonts w:ascii="Verdana" w:hAnsi="Verdana" w:cs="Andalus"/>
                <w:b/>
                <w:bCs/>
                <w:color w:val="000000"/>
                <w:w w:val="96"/>
                <w:sz w:val="20"/>
                <w:szCs w:val="20"/>
                <w:lang w:bidi="ar-JO"/>
              </w:rPr>
            </w:pPr>
            <w:r w:rsidRPr="00B91FF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23.2 </w:t>
            </w:r>
            <w:r w:rsidRPr="00B91FF8">
              <w:rPr>
                <w:rFonts w:ascii="Verdana" w:hAnsi="Verdana" w:cs="Minion-Regular"/>
                <w:color w:val="000000"/>
                <w:sz w:val="20"/>
                <w:szCs w:val="20"/>
              </w:rPr>
              <w:t>Explosions</w:t>
            </w:r>
          </w:p>
          <w:p w:rsidR="00665CE7" w:rsidRPr="0027254F" w:rsidRDefault="00665CE7" w:rsidP="00387133">
            <w:pPr>
              <w:spacing w:after="0" w:line="240" w:lineRule="auto"/>
              <w:ind w:right="-180"/>
              <w:rPr>
                <w:rFonts w:ascii="Verdana" w:hAnsi="Verdana" w:cs="Andalus"/>
                <w:b/>
                <w:bCs/>
                <w:color w:val="000000"/>
                <w:w w:val="96"/>
                <w:sz w:val="20"/>
                <w:szCs w:val="20"/>
              </w:rPr>
            </w:pPr>
            <w:r w:rsidRPr="0027254F">
              <w:rPr>
                <w:rFonts w:ascii="Verdana" w:hAnsi="Verdana" w:cs="Andalus"/>
                <w:b/>
                <w:bCs/>
                <w:color w:val="000000"/>
                <w:w w:val="96"/>
                <w:sz w:val="20"/>
                <w:szCs w:val="20"/>
              </w:rPr>
              <w:t>Chapter 24 Molecular Reaction Dynamics</w:t>
            </w:r>
          </w:p>
          <w:p w:rsidR="00665CE7" w:rsidRPr="0073313A" w:rsidRDefault="00665CE7" w:rsidP="0073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inion-Regular"/>
                <w:color w:val="000000"/>
                <w:sz w:val="20"/>
                <w:szCs w:val="20"/>
                <w:rtl/>
              </w:rPr>
            </w:pPr>
            <w:r w:rsidRPr="0027254F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24.1 </w:t>
            </w:r>
            <w:r w:rsidRPr="0027254F">
              <w:rPr>
                <w:rFonts w:ascii="Verdana" w:hAnsi="Verdana" w:cs="Minion-Regular"/>
                <w:color w:val="000000"/>
                <w:sz w:val="20"/>
                <w:szCs w:val="20"/>
              </w:rPr>
              <w:t>Collision theory</w:t>
            </w:r>
            <w:r>
              <w:rPr>
                <w:rFonts w:ascii="Verdana" w:hAnsi="Verdana"/>
                <w:b/>
                <w:bCs/>
              </w:rPr>
              <w:t xml:space="preserve">                     </w:t>
            </w: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27254F" w:rsidRDefault="0073313A" w:rsidP="0073313A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</w:rPr>
              <w:t>10</w:t>
            </w:r>
            <w:r w:rsidR="00665CE7" w:rsidRPr="0027254F">
              <w:rPr>
                <w:rFonts w:ascii="Verdana" w:hAnsi="Verdana" w:cs="Simplified Arabic"/>
                <w:b/>
                <w:bCs/>
                <w:sz w:val="20"/>
                <w:szCs w:val="20"/>
              </w:rPr>
              <w:t>.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665CE7" w:rsidRPr="0027254F" w:rsidRDefault="00665CE7" w:rsidP="0038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7254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Chapter 24. </w:t>
            </w:r>
            <w:r w:rsidRPr="0027254F">
              <w:rPr>
                <w:rFonts w:ascii="Verdana" w:hAnsi="Verdana" w:cs="Simplified Arabic"/>
                <w:b/>
                <w:bCs/>
                <w:sz w:val="20"/>
                <w:szCs w:val="20"/>
              </w:rPr>
              <w:t>(continue)</w:t>
            </w:r>
            <w:r w:rsidRPr="0027254F">
              <w:rPr>
                <w:rFonts w:ascii="Verdana" w:hAnsi="Verdana" w:cs="HelveticaNeue-Bold"/>
                <w:b/>
                <w:bCs/>
                <w:sz w:val="20"/>
                <w:szCs w:val="20"/>
              </w:rPr>
              <w:t xml:space="preserve">                  </w:t>
            </w:r>
          </w:p>
          <w:p w:rsidR="00665CE7" w:rsidRPr="0027254F" w:rsidRDefault="00665CE7" w:rsidP="0038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</w:pPr>
          </w:p>
          <w:p w:rsidR="00665CE7" w:rsidRPr="0027254F" w:rsidRDefault="0073313A" w:rsidP="00733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665CE7" w:rsidRPr="0027254F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>Transition state theory</w:t>
            </w:r>
          </w:p>
          <w:p w:rsidR="00665CE7" w:rsidRPr="00D81A2C" w:rsidRDefault="00665CE7" w:rsidP="00D8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27254F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24.4 </w:t>
            </w:r>
            <w:r w:rsidRPr="0027254F">
              <w:rPr>
                <w:rFonts w:ascii="Verdana" w:hAnsi="Verdana" w:cs="Minion-Regular"/>
                <w:color w:val="000000"/>
                <w:sz w:val="20"/>
                <w:szCs w:val="20"/>
              </w:rPr>
              <w:t>The Eyring equation</w:t>
            </w:r>
            <w:r w:rsidR="00D81A2C"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                     </w:t>
            </w:r>
            <w:r w:rsidR="00D81A2C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27254F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24.5 </w:t>
            </w:r>
            <w:r w:rsidRPr="0027254F">
              <w:rPr>
                <w:rFonts w:ascii="Verdana" w:hAnsi="Verdana" w:cs="Minion-Regular"/>
                <w:color w:val="000000"/>
                <w:sz w:val="20"/>
                <w:szCs w:val="20"/>
              </w:rPr>
              <w:t>Thermodynamic aspects</w:t>
            </w:r>
          </w:p>
          <w:p w:rsidR="00665CE7" w:rsidRPr="000F1830" w:rsidRDefault="00665CE7" w:rsidP="0038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27254F" w:rsidRDefault="0073313A" w:rsidP="0073313A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  <w:t>11.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77648E" w:rsidRPr="0077648E" w:rsidRDefault="0077648E" w:rsidP="00D81A2C">
            <w:pPr>
              <w:spacing w:after="0" w:line="240" w:lineRule="auto"/>
              <w:ind w:right="-180"/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JO"/>
              </w:rPr>
            </w:pPr>
            <w:r w:rsidRPr="0077648E">
              <w:rPr>
                <w:rFonts w:ascii="Verdana" w:hAnsi="Verdana"/>
                <w:b/>
                <w:bCs/>
                <w:sz w:val="20"/>
                <w:szCs w:val="20"/>
                <w:lang w:bidi="ar-JO"/>
              </w:rPr>
              <w:t>Second Exam</w:t>
            </w:r>
          </w:p>
          <w:p w:rsidR="00665CE7" w:rsidRPr="000F1830" w:rsidRDefault="00D81A2C" w:rsidP="00D81A2C">
            <w:pPr>
              <w:spacing w:after="0" w:line="240" w:lineRule="auto"/>
              <w:ind w:right="-180"/>
              <w:jc w:val="center"/>
              <w:rPr>
                <w:rFonts w:ascii="Verdana" w:hAnsi="Verdana" w:cs="Simplified Arabic"/>
                <w:b/>
                <w:bCs/>
                <w:rtl/>
              </w:rPr>
            </w:pPr>
            <w:r>
              <w:rPr>
                <w:rFonts w:ascii="Verdana" w:hAnsi="Verdana"/>
              </w:rPr>
              <w:t>Reactions in solution</w:t>
            </w: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B42928" w:rsidRDefault="00D81A2C" w:rsidP="00D81A2C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Verdana" w:hAnsi="Verdana" w:cs="Simplified Arabic"/>
                <w:b/>
                <w:bCs/>
              </w:rPr>
              <w:t>12</w:t>
            </w:r>
            <w:r w:rsidR="00665CE7" w:rsidRPr="00B42928">
              <w:rPr>
                <w:rFonts w:ascii="Verdana" w:hAnsi="Verdana" w:cs="Simplified Arabic"/>
                <w:b/>
                <w:bCs/>
                <w:sz w:val="20"/>
                <w:szCs w:val="20"/>
              </w:rPr>
              <w:t>.</w:t>
            </w:r>
          </w:p>
        </w:tc>
      </w:tr>
      <w:tr w:rsidR="00665CE7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665CE7" w:rsidRPr="00E62021" w:rsidRDefault="00665CE7" w:rsidP="00387133">
            <w:pPr>
              <w:spacing w:after="0" w:line="240" w:lineRule="auto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81A2C" w:rsidRPr="00B42928" w:rsidRDefault="00D81A2C" w:rsidP="00D8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HelveticaNeue-Light"/>
                <w:b/>
                <w:bCs/>
                <w:color w:val="000000"/>
                <w:sz w:val="20"/>
                <w:szCs w:val="20"/>
              </w:rPr>
            </w:pPr>
            <w:r w:rsidRPr="00B42928">
              <w:rPr>
                <w:rFonts w:ascii="Verdana" w:hAnsi="Verdana" w:cs="Simplified Arabic"/>
                <w:b/>
                <w:bCs/>
                <w:sz w:val="20"/>
                <w:szCs w:val="20"/>
              </w:rPr>
              <w:t xml:space="preserve">Chapter 25 </w:t>
            </w:r>
            <w:r w:rsidRPr="00B42928">
              <w:rPr>
                <w:rFonts w:ascii="Verdana" w:hAnsi="Verdana" w:cs="HelveticaNeue-Light"/>
                <w:b/>
                <w:bCs/>
                <w:color w:val="000000"/>
                <w:sz w:val="20"/>
                <w:szCs w:val="20"/>
              </w:rPr>
              <w:t>Processes at solid</w:t>
            </w:r>
          </w:p>
          <w:p w:rsidR="00D81A2C" w:rsidRPr="00D81A2C" w:rsidRDefault="00D81A2C" w:rsidP="00D81A2C">
            <w:pPr>
              <w:spacing w:after="0" w:line="240" w:lineRule="auto"/>
              <w:ind w:right="-180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rtl/>
              </w:rPr>
            </w:pPr>
            <w:r w:rsidRPr="00B42928">
              <w:rPr>
                <w:rFonts w:ascii="Verdana" w:hAnsi="Verdana" w:cs="HelveticaNeue-Light"/>
                <w:b/>
                <w:bCs/>
                <w:color w:val="000000"/>
                <w:sz w:val="20"/>
                <w:szCs w:val="20"/>
              </w:rPr>
              <w:t>surfaces</w:t>
            </w:r>
          </w:p>
          <w:p w:rsidR="00D81A2C" w:rsidRPr="00B42928" w:rsidRDefault="00D81A2C" w:rsidP="00D8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B4292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25.1 </w:t>
            </w:r>
            <w:r w:rsidRPr="00B42928">
              <w:rPr>
                <w:rFonts w:ascii="Verdana" w:hAnsi="Verdana" w:cs="Minion-Regular"/>
                <w:color w:val="000000"/>
                <w:sz w:val="20"/>
                <w:szCs w:val="20"/>
              </w:rPr>
              <w:t>Surface growth</w:t>
            </w:r>
          </w:p>
          <w:p w:rsidR="00D81A2C" w:rsidRPr="00B42928" w:rsidRDefault="00D81A2C" w:rsidP="00D8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B4292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25.2 </w:t>
            </w:r>
            <w:r w:rsidRPr="00B42928">
              <w:rPr>
                <w:rFonts w:ascii="Verdana" w:hAnsi="Verdana" w:cs="Minion-Regular"/>
                <w:color w:val="000000"/>
                <w:sz w:val="20"/>
                <w:szCs w:val="20"/>
              </w:rPr>
              <w:t>Surface composition</w:t>
            </w:r>
          </w:p>
          <w:p w:rsidR="00D81A2C" w:rsidRPr="00B42928" w:rsidRDefault="00D81A2C" w:rsidP="00D8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B4292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25.3 </w:t>
            </w:r>
            <w:r w:rsidRPr="00B42928">
              <w:rPr>
                <w:rFonts w:ascii="Verdana" w:hAnsi="Verdana" w:cs="Minion-Regular"/>
                <w:color w:val="000000"/>
                <w:sz w:val="20"/>
                <w:szCs w:val="20"/>
              </w:rPr>
              <w:t xml:space="preserve">Physisorption and </w:t>
            </w:r>
            <w:proofErr w:type="spellStart"/>
            <w:r w:rsidRPr="00B42928">
              <w:rPr>
                <w:rFonts w:ascii="Verdana" w:hAnsi="Verdana" w:cs="Minion-Regular"/>
                <w:color w:val="000000"/>
                <w:sz w:val="20"/>
                <w:szCs w:val="20"/>
              </w:rPr>
              <w:t>chemisorption</w:t>
            </w:r>
            <w:proofErr w:type="spellEnd"/>
          </w:p>
          <w:p w:rsidR="00665CE7" w:rsidRPr="00D81A2C" w:rsidRDefault="00665CE7" w:rsidP="00D81A2C">
            <w:pPr>
              <w:spacing w:after="0" w:line="240" w:lineRule="auto"/>
              <w:ind w:right="-180"/>
              <w:rPr>
                <w:rFonts w:ascii="Verdana" w:hAnsi="Verdana" w:cs="Andalus"/>
                <w:b/>
                <w:bCs/>
                <w:color w:val="000000"/>
                <w:w w:val="96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65CE7" w:rsidRPr="00B42928" w:rsidRDefault="00D81A2C" w:rsidP="00D81A2C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</w:rPr>
              <w:t>13</w:t>
            </w:r>
            <w:r w:rsidR="00665CE7" w:rsidRPr="00B42928">
              <w:rPr>
                <w:rFonts w:ascii="Verdana" w:hAnsi="Verdana" w:cs="Simplified Arabic"/>
                <w:b/>
                <w:bCs/>
                <w:sz w:val="20"/>
                <w:szCs w:val="20"/>
              </w:rPr>
              <w:t>.</w:t>
            </w:r>
          </w:p>
        </w:tc>
      </w:tr>
      <w:tr w:rsidR="00D81A2C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D81A2C" w:rsidRPr="00E62021" w:rsidRDefault="00D81A2C" w:rsidP="00387133">
            <w:pPr>
              <w:spacing w:after="0" w:line="240" w:lineRule="auto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81A2C" w:rsidRPr="00B42928" w:rsidRDefault="00D81A2C" w:rsidP="00D8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inion-Regular"/>
                <w:color w:val="000000"/>
                <w:sz w:val="20"/>
                <w:szCs w:val="20"/>
              </w:rPr>
            </w:pPr>
            <w:r w:rsidRPr="00B4292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25.4 </w:t>
            </w:r>
            <w:r w:rsidRPr="00B42928">
              <w:rPr>
                <w:rFonts w:ascii="Verdana" w:hAnsi="Verdana" w:cs="Minion-Regular"/>
                <w:color w:val="000000"/>
                <w:sz w:val="20"/>
                <w:szCs w:val="20"/>
              </w:rPr>
              <w:t>Adsorption isotherms</w:t>
            </w:r>
          </w:p>
          <w:p w:rsidR="00D81A2C" w:rsidRPr="00B42928" w:rsidRDefault="00D81A2C" w:rsidP="00D8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</w:rPr>
            </w:pPr>
            <w:r w:rsidRPr="00B42928"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</w:rPr>
              <w:t xml:space="preserve">25.5 </w:t>
            </w:r>
            <w:r w:rsidRPr="00B42928">
              <w:rPr>
                <w:rFonts w:ascii="Verdana" w:hAnsi="Verdana" w:cs="Minion-Regular"/>
                <w:color w:val="000000"/>
                <w:sz w:val="20"/>
                <w:szCs w:val="20"/>
              </w:rPr>
              <w:t>The rates of surface processes</w:t>
            </w: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81A2C" w:rsidRDefault="00D81A2C" w:rsidP="00D81A2C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  <w:t>14.</w:t>
            </w:r>
          </w:p>
        </w:tc>
      </w:tr>
      <w:tr w:rsidR="0077648E" w:rsidRPr="00E62021" w:rsidTr="006F3BE9">
        <w:trPr>
          <w:trHeight w:val="319"/>
          <w:jc w:val="center"/>
        </w:trPr>
        <w:tc>
          <w:tcPr>
            <w:tcW w:w="4108" w:type="dxa"/>
            <w:tcBorders>
              <w:right w:val="single" w:sz="18" w:space="0" w:color="auto"/>
            </w:tcBorders>
            <w:vAlign w:val="center"/>
          </w:tcPr>
          <w:p w:rsidR="0077648E" w:rsidRPr="00E62021" w:rsidRDefault="0077648E" w:rsidP="00387133">
            <w:pPr>
              <w:spacing w:after="0" w:line="240" w:lineRule="auto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77648E" w:rsidRPr="00B42928" w:rsidRDefault="0077648E" w:rsidP="00D8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  <w:lang w:bidi="ar-JO"/>
              </w:rPr>
            </w:pPr>
            <w:r>
              <w:rPr>
                <w:rFonts w:ascii="Verdana" w:hAnsi="Verdana" w:cs="HelveticaNeue-Bold"/>
                <w:b/>
                <w:bCs/>
                <w:color w:val="000000"/>
                <w:sz w:val="20"/>
                <w:szCs w:val="20"/>
                <w:lang w:bidi="ar-JO"/>
              </w:rPr>
              <w:t>Final Exam</w:t>
            </w:r>
          </w:p>
        </w:tc>
        <w:tc>
          <w:tcPr>
            <w:tcW w:w="108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7648E" w:rsidRDefault="0077648E" w:rsidP="00D81A2C">
            <w:pPr>
              <w:spacing w:after="0" w:line="240" w:lineRule="auto"/>
              <w:ind w:right="-28"/>
              <w:jc w:val="center"/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Verdana" w:hAnsi="Verdana" w:cs="Simplified Arabic"/>
                <w:b/>
                <w:bCs/>
                <w:sz w:val="20"/>
                <w:szCs w:val="20"/>
                <w:lang w:bidi="ar-JO"/>
              </w:rPr>
              <w:t>15+16</w:t>
            </w:r>
          </w:p>
        </w:tc>
      </w:tr>
    </w:tbl>
    <w:p w:rsidR="003D52FD" w:rsidRDefault="003D52FD" w:rsidP="003D52FD">
      <w:pPr>
        <w:autoSpaceDE w:val="0"/>
        <w:autoSpaceDN w:val="0"/>
        <w:bidi w:val="0"/>
        <w:adjustRightInd w:val="0"/>
        <w:spacing w:after="0" w:line="240" w:lineRule="auto"/>
        <w:rPr>
          <w:rFonts w:ascii="Verdana" w:hAnsi="Verdana"/>
          <w:sz w:val="20"/>
          <w:szCs w:val="20"/>
          <w:lang w:bidi="ar-JO"/>
        </w:rPr>
      </w:pPr>
    </w:p>
    <w:p w:rsidR="003D52FD" w:rsidRDefault="003D52FD" w:rsidP="003D52FD">
      <w:pPr>
        <w:autoSpaceDE w:val="0"/>
        <w:autoSpaceDN w:val="0"/>
        <w:bidi w:val="0"/>
        <w:adjustRightInd w:val="0"/>
        <w:spacing w:after="0" w:line="240" w:lineRule="auto"/>
        <w:rPr>
          <w:rFonts w:ascii="Verdana" w:hAnsi="Verdana"/>
          <w:sz w:val="20"/>
          <w:szCs w:val="20"/>
          <w:lang w:bidi="ar-JO"/>
        </w:rPr>
      </w:pPr>
    </w:p>
    <w:p w:rsidR="003D52FD" w:rsidRDefault="003D52FD" w:rsidP="003D52FD">
      <w:pPr>
        <w:autoSpaceDE w:val="0"/>
        <w:autoSpaceDN w:val="0"/>
        <w:bidi w:val="0"/>
        <w:adjustRightInd w:val="0"/>
        <w:spacing w:after="0" w:line="240" w:lineRule="auto"/>
        <w:rPr>
          <w:rFonts w:ascii="Verdana" w:hAnsi="Verdana"/>
          <w:sz w:val="20"/>
          <w:szCs w:val="20"/>
          <w:lang w:bidi="ar-JO"/>
        </w:rPr>
      </w:pPr>
    </w:p>
    <w:p w:rsidR="00A868DA" w:rsidRPr="00665CE7" w:rsidRDefault="00A868DA" w:rsidP="00A35D4F">
      <w:pPr>
        <w:jc w:val="both"/>
        <w:rPr>
          <w:rFonts w:asciiTheme="majorBidi" w:hAnsiTheme="majorBidi"/>
          <w:b/>
          <w:bCs/>
          <w:color w:val="000000"/>
          <w:rtl/>
          <w:lang w:bidi="ar-JO"/>
        </w:rPr>
      </w:pPr>
    </w:p>
    <w:p w:rsidR="005D7F27" w:rsidRDefault="005D7F27" w:rsidP="009C6DA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</w:p>
    <w:p w:rsidR="005D7F27" w:rsidRDefault="005D7F27" w:rsidP="005D7F2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</w:p>
    <w:p w:rsidR="005D7F27" w:rsidRDefault="005D7F27" w:rsidP="005D7F2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</w:p>
    <w:p w:rsidR="005D7F27" w:rsidRDefault="005D7F27" w:rsidP="005D7F2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</w:p>
    <w:p w:rsidR="005D7F27" w:rsidRDefault="005D7F27" w:rsidP="005D7F2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</w:p>
    <w:p w:rsidR="005D7F27" w:rsidRDefault="005D7F27" w:rsidP="005D7F2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</w:p>
    <w:p w:rsidR="005D7F27" w:rsidRDefault="005D7F27" w:rsidP="005D7F2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</w:p>
    <w:p w:rsidR="005D7F27" w:rsidRDefault="005D7F27" w:rsidP="005D7F2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ar-JO"/>
        </w:rPr>
      </w:pPr>
    </w:p>
    <w:p w:rsidR="003C1202" w:rsidRDefault="003C1202" w:rsidP="00C215F1">
      <w:pPr>
        <w:rPr>
          <w:rFonts w:asciiTheme="majorBidi" w:hAnsiTheme="majorBidi" w:cstheme="majorBidi"/>
          <w:color w:val="000000"/>
          <w:rtl/>
          <w:lang w:bidi="ar-JO"/>
        </w:rPr>
      </w:pPr>
    </w:p>
    <w:sectPr w:rsidR="003C1202" w:rsidSect="00D947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Neue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ion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Neue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9C7"/>
    <w:multiLevelType w:val="hybridMultilevel"/>
    <w:tmpl w:val="790A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F741E"/>
    <w:rsid w:val="000059E5"/>
    <w:rsid w:val="0003735D"/>
    <w:rsid w:val="00046956"/>
    <w:rsid w:val="00055D04"/>
    <w:rsid w:val="0005787B"/>
    <w:rsid w:val="000659B4"/>
    <w:rsid w:val="00066B5E"/>
    <w:rsid w:val="0008474A"/>
    <w:rsid w:val="0009079C"/>
    <w:rsid w:val="000A1E4F"/>
    <w:rsid w:val="000A74CA"/>
    <w:rsid w:val="000B2E88"/>
    <w:rsid w:val="000B4AD9"/>
    <w:rsid w:val="000C4F7A"/>
    <w:rsid w:val="000F2DE2"/>
    <w:rsid w:val="00102F76"/>
    <w:rsid w:val="00120E7F"/>
    <w:rsid w:val="00154EC8"/>
    <w:rsid w:val="00162782"/>
    <w:rsid w:val="001745B3"/>
    <w:rsid w:val="001746D9"/>
    <w:rsid w:val="0017517D"/>
    <w:rsid w:val="00184808"/>
    <w:rsid w:val="00195683"/>
    <w:rsid w:val="001B4C71"/>
    <w:rsid w:val="001B77C0"/>
    <w:rsid w:val="001E70DB"/>
    <w:rsid w:val="001F2479"/>
    <w:rsid w:val="001F4FAD"/>
    <w:rsid w:val="001F6DD8"/>
    <w:rsid w:val="00200931"/>
    <w:rsid w:val="00205CA8"/>
    <w:rsid w:val="00210BA6"/>
    <w:rsid w:val="00237B53"/>
    <w:rsid w:val="0026371F"/>
    <w:rsid w:val="002668DB"/>
    <w:rsid w:val="0027738E"/>
    <w:rsid w:val="00294F22"/>
    <w:rsid w:val="002A22D7"/>
    <w:rsid w:val="002B666F"/>
    <w:rsid w:val="002C1EBA"/>
    <w:rsid w:val="002D7271"/>
    <w:rsid w:val="002F1192"/>
    <w:rsid w:val="002F59D4"/>
    <w:rsid w:val="002F6AC2"/>
    <w:rsid w:val="00301E59"/>
    <w:rsid w:val="003145F7"/>
    <w:rsid w:val="00331176"/>
    <w:rsid w:val="0034020D"/>
    <w:rsid w:val="0036332D"/>
    <w:rsid w:val="003839D1"/>
    <w:rsid w:val="003B1E58"/>
    <w:rsid w:val="003C1202"/>
    <w:rsid w:val="003D1F4A"/>
    <w:rsid w:val="003D52FD"/>
    <w:rsid w:val="003F7250"/>
    <w:rsid w:val="00404738"/>
    <w:rsid w:val="0041535F"/>
    <w:rsid w:val="004165EA"/>
    <w:rsid w:val="00422FA9"/>
    <w:rsid w:val="004330F6"/>
    <w:rsid w:val="00435BBD"/>
    <w:rsid w:val="0043625F"/>
    <w:rsid w:val="00442BC2"/>
    <w:rsid w:val="00460172"/>
    <w:rsid w:val="00463DE0"/>
    <w:rsid w:val="00465030"/>
    <w:rsid w:val="0048404C"/>
    <w:rsid w:val="004903B8"/>
    <w:rsid w:val="00491C64"/>
    <w:rsid w:val="00495B7D"/>
    <w:rsid w:val="00496FD6"/>
    <w:rsid w:val="004B49A1"/>
    <w:rsid w:val="004C407A"/>
    <w:rsid w:val="004E011C"/>
    <w:rsid w:val="004F2D01"/>
    <w:rsid w:val="00501231"/>
    <w:rsid w:val="00522360"/>
    <w:rsid w:val="00524E33"/>
    <w:rsid w:val="005259FE"/>
    <w:rsid w:val="0054115F"/>
    <w:rsid w:val="00547264"/>
    <w:rsid w:val="005531BF"/>
    <w:rsid w:val="005861EE"/>
    <w:rsid w:val="005A3EFC"/>
    <w:rsid w:val="005A5F2A"/>
    <w:rsid w:val="005B307F"/>
    <w:rsid w:val="005C3FD9"/>
    <w:rsid w:val="005D2CC7"/>
    <w:rsid w:val="005D7F27"/>
    <w:rsid w:val="005E1AEC"/>
    <w:rsid w:val="005E77F4"/>
    <w:rsid w:val="005F0386"/>
    <w:rsid w:val="005F741E"/>
    <w:rsid w:val="00634EE3"/>
    <w:rsid w:val="00637921"/>
    <w:rsid w:val="006455B8"/>
    <w:rsid w:val="006469FF"/>
    <w:rsid w:val="006510FA"/>
    <w:rsid w:val="00654B68"/>
    <w:rsid w:val="00665CE7"/>
    <w:rsid w:val="006669B2"/>
    <w:rsid w:val="0067042F"/>
    <w:rsid w:val="0067512D"/>
    <w:rsid w:val="00680E5C"/>
    <w:rsid w:val="00683B1F"/>
    <w:rsid w:val="00686B44"/>
    <w:rsid w:val="006C14E3"/>
    <w:rsid w:val="006C4C59"/>
    <w:rsid w:val="006D097E"/>
    <w:rsid w:val="006F14D6"/>
    <w:rsid w:val="006F19CF"/>
    <w:rsid w:val="006F3BE9"/>
    <w:rsid w:val="00705BCE"/>
    <w:rsid w:val="00706BD4"/>
    <w:rsid w:val="00724747"/>
    <w:rsid w:val="0073313A"/>
    <w:rsid w:val="007541C7"/>
    <w:rsid w:val="0076427B"/>
    <w:rsid w:val="00764F4F"/>
    <w:rsid w:val="007655FF"/>
    <w:rsid w:val="0077648E"/>
    <w:rsid w:val="00783BFA"/>
    <w:rsid w:val="00793D76"/>
    <w:rsid w:val="007A38EA"/>
    <w:rsid w:val="007E4F61"/>
    <w:rsid w:val="007F3350"/>
    <w:rsid w:val="00805896"/>
    <w:rsid w:val="0081058C"/>
    <w:rsid w:val="00821976"/>
    <w:rsid w:val="00833F00"/>
    <w:rsid w:val="0084273C"/>
    <w:rsid w:val="008511AE"/>
    <w:rsid w:val="008524D3"/>
    <w:rsid w:val="00852A87"/>
    <w:rsid w:val="0087000D"/>
    <w:rsid w:val="008716F9"/>
    <w:rsid w:val="00873277"/>
    <w:rsid w:val="008753E4"/>
    <w:rsid w:val="00876571"/>
    <w:rsid w:val="00876911"/>
    <w:rsid w:val="00877396"/>
    <w:rsid w:val="00881A97"/>
    <w:rsid w:val="00886844"/>
    <w:rsid w:val="008871DF"/>
    <w:rsid w:val="00895986"/>
    <w:rsid w:val="008B6C26"/>
    <w:rsid w:val="008C11B3"/>
    <w:rsid w:val="008D05D8"/>
    <w:rsid w:val="008D7791"/>
    <w:rsid w:val="008E4E59"/>
    <w:rsid w:val="008F1E3E"/>
    <w:rsid w:val="009020B5"/>
    <w:rsid w:val="00904059"/>
    <w:rsid w:val="00905EED"/>
    <w:rsid w:val="00914E0B"/>
    <w:rsid w:val="009154C1"/>
    <w:rsid w:val="0092559F"/>
    <w:rsid w:val="009334C3"/>
    <w:rsid w:val="00946FBB"/>
    <w:rsid w:val="009541C0"/>
    <w:rsid w:val="0095612A"/>
    <w:rsid w:val="009611EC"/>
    <w:rsid w:val="00962254"/>
    <w:rsid w:val="00964DAE"/>
    <w:rsid w:val="009673CB"/>
    <w:rsid w:val="00984967"/>
    <w:rsid w:val="0098559E"/>
    <w:rsid w:val="0099573E"/>
    <w:rsid w:val="009C0524"/>
    <w:rsid w:val="009C6DAA"/>
    <w:rsid w:val="009D0EE4"/>
    <w:rsid w:val="00A03465"/>
    <w:rsid w:val="00A35D4F"/>
    <w:rsid w:val="00A3759D"/>
    <w:rsid w:val="00A60241"/>
    <w:rsid w:val="00A6741F"/>
    <w:rsid w:val="00A757F1"/>
    <w:rsid w:val="00A868DA"/>
    <w:rsid w:val="00A87673"/>
    <w:rsid w:val="00AA020F"/>
    <w:rsid w:val="00AA1302"/>
    <w:rsid w:val="00AD639E"/>
    <w:rsid w:val="00AE4CA0"/>
    <w:rsid w:val="00AF31BA"/>
    <w:rsid w:val="00AF69CC"/>
    <w:rsid w:val="00B109D1"/>
    <w:rsid w:val="00B40A84"/>
    <w:rsid w:val="00B52721"/>
    <w:rsid w:val="00B56451"/>
    <w:rsid w:val="00B6106E"/>
    <w:rsid w:val="00B73621"/>
    <w:rsid w:val="00B86727"/>
    <w:rsid w:val="00BA70B9"/>
    <w:rsid w:val="00BC100B"/>
    <w:rsid w:val="00BC3F48"/>
    <w:rsid w:val="00BE3368"/>
    <w:rsid w:val="00C124F0"/>
    <w:rsid w:val="00C215F1"/>
    <w:rsid w:val="00C2200D"/>
    <w:rsid w:val="00C22636"/>
    <w:rsid w:val="00C27161"/>
    <w:rsid w:val="00C31DAB"/>
    <w:rsid w:val="00C8662E"/>
    <w:rsid w:val="00CB60A8"/>
    <w:rsid w:val="00CD0F57"/>
    <w:rsid w:val="00CD0F6E"/>
    <w:rsid w:val="00CD7F6B"/>
    <w:rsid w:val="00CF1BE9"/>
    <w:rsid w:val="00D24BAE"/>
    <w:rsid w:val="00D456D2"/>
    <w:rsid w:val="00D67496"/>
    <w:rsid w:val="00D73226"/>
    <w:rsid w:val="00D73DD8"/>
    <w:rsid w:val="00D76558"/>
    <w:rsid w:val="00D81A2C"/>
    <w:rsid w:val="00D84055"/>
    <w:rsid w:val="00D947C0"/>
    <w:rsid w:val="00D94CED"/>
    <w:rsid w:val="00DB2826"/>
    <w:rsid w:val="00DB41F0"/>
    <w:rsid w:val="00DE527C"/>
    <w:rsid w:val="00DF69AB"/>
    <w:rsid w:val="00DF6DA5"/>
    <w:rsid w:val="00E004AE"/>
    <w:rsid w:val="00E0458B"/>
    <w:rsid w:val="00E06471"/>
    <w:rsid w:val="00E15B90"/>
    <w:rsid w:val="00E21ABC"/>
    <w:rsid w:val="00E22F1C"/>
    <w:rsid w:val="00E43743"/>
    <w:rsid w:val="00E54015"/>
    <w:rsid w:val="00E64DE8"/>
    <w:rsid w:val="00E650A8"/>
    <w:rsid w:val="00E73985"/>
    <w:rsid w:val="00E81761"/>
    <w:rsid w:val="00E85ED3"/>
    <w:rsid w:val="00E91818"/>
    <w:rsid w:val="00EA5B79"/>
    <w:rsid w:val="00EB57C5"/>
    <w:rsid w:val="00EB6687"/>
    <w:rsid w:val="00EC60E8"/>
    <w:rsid w:val="00ED1821"/>
    <w:rsid w:val="00ED2322"/>
    <w:rsid w:val="00EE2555"/>
    <w:rsid w:val="00EF322A"/>
    <w:rsid w:val="00EF5F1A"/>
    <w:rsid w:val="00F0743F"/>
    <w:rsid w:val="00F12C4D"/>
    <w:rsid w:val="00F175BF"/>
    <w:rsid w:val="00F23E31"/>
    <w:rsid w:val="00F2656F"/>
    <w:rsid w:val="00F3688C"/>
    <w:rsid w:val="00F41330"/>
    <w:rsid w:val="00F46C60"/>
    <w:rsid w:val="00F52304"/>
    <w:rsid w:val="00F726CF"/>
    <w:rsid w:val="00FB14A2"/>
    <w:rsid w:val="00FB2D43"/>
    <w:rsid w:val="00FC278F"/>
    <w:rsid w:val="00FC675F"/>
    <w:rsid w:val="00FD387F"/>
    <w:rsid w:val="00FD467D"/>
    <w:rsid w:val="00FE2F24"/>
    <w:rsid w:val="00FF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B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45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5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5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5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45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6455B8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10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10FA"/>
    <w:rPr>
      <w:b/>
      <w:bCs/>
    </w:rPr>
  </w:style>
  <w:style w:type="character" w:styleId="Emphasis">
    <w:name w:val="Emphasis"/>
    <w:basedOn w:val="DefaultParagraphFont"/>
    <w:qFormat/>
    <w:rsid w:val="006510FA"/>
    <w:rPr>
      <w:i/>
      <w:iCs/>
    </w:rPr>
  </w:style>
  <w:style w:type="paragraph" w:styleId="ListParagraph">
    <w:name w:val="List Paragraph"/>
    <w:basedOn w:val="Normal"/>
    <w:uiPriority w:val="34"/>
    <w:qFormat/>
    <w:rsid w:val="005F0386"/>
    <w:pPr>
      <w:ind w:left="720"/>
      <w:contextualSpacing/>
    </w:pPr>
  </w:style>
  <w:style w:type="table" w:styleId="TableGrid">
    <w:name w:val="Table Grid"/>
    <w:basedOn w:val="TableNormal"/>
    <w:uiPriority w:val="59"/>
    <w:rsid w:val="00D24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0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6471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rsid w:val="003D52FD"/>
    <w:pPr>
      <w:bidi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rsid w:val="003D52FD"/>
    <w:rPr>
      <w:rFonts w:ascii="Courier New" w:eastAsia="Batang" w:hAnsi="Courier New" w:cs="Courier New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9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2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6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5557">
                  <w:marLeft w:val="0"/>
                  <w:marRight w:val="0"/>
                  <w:marTop w:val="0"/>
                  <w:marBottom w:val="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290">
                  <w:marLeft w:val="0"/>
                  <w:marRight w:val="0"/>
                  <w:marTop w:val="0"/>
                  <w:marBottom w:val="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00C7C-A890-4A15-B5C9-1B83119AF742}"/>
</file>

<file path=customXml/itemProps2.xml><?xml version="1.0" encoding="utf-8"?>
<ds:datastoreItem xmlns:ds="http://schemas.openxmlformats.org/officeDocument/2006/customXml" ds:itemID="{A94EEC33-AECE-4186-B5DE-8CBC53120BC7}"/>
</file>

<file path=customXml/itemProps3.xml><?xml version="1.0" encoding="utf-8"?>
<ds:datastoreItem xmlns:ds="http://schemas.openxmlformats.org/officeDocument/2006/customXml" ds:itemID="{D716AFD0-F48D-43DE-974B-350D2009F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202</cp:revision>
  <dcterms:created xsi:type="dcterms:W3CDTF">2019-03-13T19:47:00Z</dcterms:created>
  <dcterms:modified xsi:type="dcterms:W3CDTF">2019-03-27T12:25:00Z</dcterms:modified>
</cp:coreProperties>
</file>